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C91BD" w14:textId="77777777" w:rsidR="00841D27" w:rsidRDefault="00841D27" w:rsidP="00DA0573">
      <w:pPr>
        <w:jc w:val="center"/>
        <w:rPr>
          <w:rFonts w:ascii="Times New Roman" w:hAnsi="Times New Roman" w:cs="Times New Roman"/>
          <w:b/>
          <w:bCs/>
        </w:rPr>
      </w:pPr>
      <w:r>
        <w:rPr>
          <w:rFonts w:ascii="Times New Roman" w:hAnsi="Times New Roman" w:cs="Times New Roman"/>
          <w:b/>
          <w:bCs/>
        </w:rPr>
        <w:t>Instructions for MHPAEA NQTL Analysis Report and Data Report</w:t>
      </w:r>
    </w:p>
    <w:p w14:paraId="0FA818E2" w14:textId="5323E6DD" w:rsidR="00306FE3" w:rsidRPr="00DA0573" w:rsidRDefault="00306FE3" w:rsidP="00DA0573">
      <w:pPr>
        <w:jc w:val="center"/>
        <w:rPr>
          <w:rFonts w:ascii="Times New Roman" w:hAnsi="Times New Roman" w:cs="Times New Roman"/>
        </w:rPr>
      </w:pPr>
      <w:r w:rsidRPr="00DA0573">
        <w:rPr>
          <w:rFonts w:ascii="Times New Roman" w:hAnsi="Times New Roman" w:cs="Times New Roman"/>
          <w:b/>
          <w:bCs/>
        </w:rPr>
        <w:t>MHPAEA Compliance Reporting for NQTLs</w:t>
      </w:r>
    </w:p>
    <w:p w14:paraId="3ECF3F76" w14:textId="49CA00B2" w:rsidR="00306FE3" w:rsidRPr="00DA0573" w:rsidRDefault="00306FE3" w:rsidP="00306FE3">
      <w:pPr>
        <w:rPr>
          <w:rFonts w:ascii="Times New Roman" w:hAnsi="Times New Roman" w:cs="Times New Roman"/>
        </w:rPr>
      </w:pPr>
      <w:r w:rsidRPr="00DA0573">
        <w:rPr>
          <w:rFonts w:ascii="Times New Roman" w:hAnsi="Times New Roman" w:cs="Times New Roman"/>
          <w:b/>
          <w:bCs/>
        </w:rPr>
        <w:t xml:space="preserve">Introduction: </w:t>
      </w:r>
      <w:r w:rsidRPr="00DA0573">
        <w:rPr>
          <w:rFonts w:ascii="Times New Roman" w:hAnsi="Times New Roman" w:cs="Times New Roman"/>
        </w:rPr>
        <w:t>Th</w:t>
      </w:r>
      <w:r w:rsidR="00841D27">
        <w:rPr>
          <w:rFonts w:ascii="Times New Roman" w:hAnsi="Times New Roman" w:cs="Times New Roman"/>
        </w:rPr>
        <w:t>e</w:t>
      </w:r>
      <w:r w:rsidRPr="00DA0573">
        <w:rPr>
          <w:rFonts w:ascii="Times New Roman" w:hAnsi="Times New Roman" w:cs="Times New Roman"/>
        </w:rPr>
        <w:t xml:space="preserve"> </w:t>
      </w:r>
      <w:r w:rsidR="00DA0573">
        <w:rPr>
          <w:rFonts w:ascii="Times New Roman" w:hAnsi="Times New Roman" w:cs="Times New Roman"/>
        </w:rPr>
        <w:t>analysis report template and supplements</w:t>
      </w:r>
      <w:r w:rsidRPr="00DA0573">
        <w:rPr>
          <w:rFonts w:ascii="Times New Roman" w:hAnsi="Times New Roman" w:cs="Times New Roman"/>
        </w:rPr>
        <w:t xml:space="preserve"> </w:t>
      </w:r>
      <w:r w:rsidR="00DA0573">
        <w:rPr>
          <w:rFonts w:ascii="Times New Roman" w:hAnsi="Times New Roman" w:cs="Times New Roman"/>
        </w:rPr>
        <w:t>are</w:t>
      </w:r>
      <w:r w:rsidRPr="00DA0573">
        <w:rPr>
          <w:rFonts w:ascii="Times New Roman" w:hAnsi="Times New Roman" w:cs="Times New Roman"/>
        </w:rPr>
        <w:t xml:space="preserve"> prepared to satisfy the requirements of §15-144, Insurance Article, Annotated Code of Maryland, to create a standard form for entities to submit the NQTL report in accordance with subsection §15-144</w:t>
      </w:r>
      <w:r w:rsidR="00B24537" w:rsidRPr="00DA0573">
        <w:rPr>
          <w:rFonts w:ascii="Times New Roman" w:hAnsi="Times New Roman" w:cs="Times New Roman"/>
        </w:rPr>
        <w:t>(c)-</w:t>
      </w:r>
      <w:r w:rsidRPr="00DA0573">
        <w:rPr>
          <w:rFonts w:ascii="Times New Roman" w:hAnsi="Times New Roman" w:cs="Times New Roman"/>
        </w:rPr>
        <w:t>(e).</w:t>
      </w:r>
    </w:p>
    <w:p w14:paraId="24818A61" w14:textId="7D56CD8B" w:rsidR="004C4D44" w:rsidRDefault="004C4D44" w:rsidP="004C4D44">
      <w:pPr>
        <w:rPr>
          <w:rFonts w:ascii="Times New Roman" w:hAnsi="Times New Roman" w:cs="Times New Roman"/>
        </w:rPr>
      </w:pPr>
      <w:r w:rsidRPr="00DA0573">
        <w:rPr>
          <w:rFonts w:ascii="Times New Roman" w:hAnsi="Times New Roman" w:cs="Times New Roman"/>
        </w:rPr>
        <w:t xml:space="preserve">Complete </w:t>
      </w:r>
      <w:r w:rsidR="00AF0AC0" w:rsidRPr="00DA0573">
        <w:rPr>
          <w:rFonts w:ascii="Times New Roman" w:hAnsi="Times New Roman" w:cs="Times New Roman"/>
        </w:rPr>
        <w:t xml:space="preserve">analysis </w:t>
      </w:r>
      <w:r w:rsidRPr="00DA0573">
        <w:rPr>
          <w:rFonts w:ascii="Times New Roman" w:hAnsi="Times New Roman" w:cs="Times New Roman"/>
        </w:rPr>
        <w:t xml:space="preserve">reports must include all data and information identified in COMAR </w:t>
      </w:r>
      <w:r w:rsidR="00081824">
        <w:rPr>
          <w:rFonts w:ascii="Times New Roman" w:hAnsi="Times New Roman" w:cs="Times New Roman"/>
        </w:rPr>
        <w:t>31.10.51</w:t>
      </w:r>
      <w:r w:rsidRPr="00DA0573">
        <w:rPr>
          <w:rFonts w:ascii="Times New Roman" w:hAnsi="Times New Roman" w:cs="Times New Roman"/>
        </w:rPr>
        <w:t xml:space="preserve"> and in these instructions in the manner and format specified.</w:t>
      </w:r>
      <w:r w:rsidR="00AF0AC0" w:rsidRPr="00DA0573">
        <w:rPr>
          <w:rFonts w:ascii="Times New Roman" w:hAnsi="Times New Roman" w:cs="Times New Roman"/>
        </w:rPr>
        <w:t xml:space="preserve">  Failure to submit a complete report may result in administrative penalties as specified in § 15-144 of the Insurance Article.</w:t>
      </w:r>
    </w:p>
    <w:p w14:paraId="30F5591C" w14:textId="65C6C220" w:rsidR="00DA0573" w:rsidRDefault="00DA0573" w:rsidP="004C4D44">
      <w:pPr>
        <w:rPr>
          <w:rFonts w:ascii="Times New Roman" w:hAnsi="Times New Roman" w:cs="Times New Roman"/>
        </w:rPr>
      </w:pPr>
      <w:r>
        <w:rPr>
          <w:rFonts w:ascii="Times New Roman" w:hAnsi="Times New Roman" w:cs="Times New Roman"/>
        </w:rPr>
        <w:t>Narratives and data shall be entered into the fields of the template or supplement</w:t>
      </w:r>
      <w:r w:rsidR="006E743B">
        <w:rPr>
          <w:rFonts w:ascii="Times New Roman" w:hAnsi="Times New Roman" w:cs="Times New Roman"/>
        </w:rPr>
        <w:t>al</w:t>
      </w:r>
      <w:r>
        <w:rPr>
          <w:rFonts w:ascii="Times New Roman" w:hAnsi="Times New Roman" w:cs="Times New Roman"/>
        </w:rPr>
        <w:t xml:space="preserve"> form. </w:t>
      </w:r>
    </w:p>
    <w:p w14:paraId="7D86C7B1" w14:textId="21254E3F" w:rsidR="006A3971" w:rsidRPr="00DA0573" w:rsidRDefault="006A3971" w:rsidP="006A3971">
      <w:pPr>
        <w:rPr>
          <w:rFonts w:ascii="Times New Roman" w:hAnsi="Times New Roman" w:cs="Times New Roman"/>
        </w:rPr>
      </w:pPr>
      <w:r w:rsidRPr="00690754">
        <w:rPr>
          <w:rFonts w:ascii="Times New Roman" w:hAnsi="Times New Roman" w:cs="Times New Roman"/>
        </w:rPr>
        <w:t xml:space="preserve">In completing the analysis report, MH/SUD may be combined when the description and application of factors, processes, strategies, evidentiary standards, and sources are the same for both. </w:t>
      </w:r>
      <w:r>
        <w:rPr>
          <w:rFonts w:ascii="Times New Roman" w:hAnsi="Times New Roman" w:cs="Times New Roman"/>
        </w:rPr>
        <w:t xml:space="preserve"> </w:t>
      </w:r>
      <w:r w:rsidRPr="00690754">
        <w:rPr>
          <w:rFonts w:ascii="Times New Roman" w:hAnsi="Times New Roman" w:cs="Times New Roman"/>
        </w:rPr>
        <w:t>If the description and/or application of factors, processes, strategies, evidentiary standards, or sources is different for mental health benefits and substance use disorder benefits as written or in operation, then mental health benefits and substance use disorder benefits shall be reported separately.</w:t>
      </w:r>
    </w:p>
    <w:p w14:paraId="18A66B4E" w14:textId="68051E6B" w:rsidR="004C4D44" w:rsidRPr="00DA0573" w:rsidRDefault="004C4D44" w:rsidP="004C4D44">
      <w:pPr>
        <w:rPr>
          <w:rFonts w:ascii="Times New Roman" w:hAnsi="Times New Roman" w:cs="Times New Roman"/>
        </w:rPr>
      </w:pPr>
      <w:r w:rsidRPr="00DA0573">
        <w:rPr>
          <w:rFonts w:ascii="Times New Roman" w:hAnsi="Times New Roman" w:cs="Times New Roman"/>
        </w:rPr>
        <w:t xml:space="preserve">The following are examples of responses that may result in a finding that a carrier failed to submit a complete </w:t>
      </w:r>
      <w:r w:rsidR="00AF0AC0" w:rsidRPr="00DA0573">
        <w:rPr>
          <w:rFonts w:ascii="Times New Roman" w:hAnsi="Times New Roman" w:cs="Times New Roman"/>
        </w:rPr>
        <w:t xml:space="preserve">analysis </w:t>
      </w:r>
      <w:r w:rsidRPr="00DA0573">
        <w:rPr>
          <w:rFonts w:ascii="Times New Roman" w:hAnsi="Times New Roman" w:cs="Times New Roman"/>
        </w:rPr>
        <w:t>report:</w:t>
      </w:r>
    </w:p>
    <w:p w14:paraId="436F4E6D" w14:textId="573A2EC4" w:rsidR="004C4D44" w:rsidRPr="00BD2BDF" w:rsidRDefault="004C4D44" w:rsidP="004C4D44">
      <w:pPr>
        <w:rPr>
          <w:rFonts w:ascii="Times New Roman" w:hAnsi="Times New Roman" w:cs="Times New Roman"/>
        </w:rPr>
      </w:pPr>
      <w:r w:rsidRPr="00DA0573">
        <w:rPr>
          <w:rFonts w:ascii="Times New Roman" w:hAnsi="Times New Roman" w:cs="Times New Roman"/>
        </w:rPr>
        <w:t xml:space="preserve">1. Production of documents without a clear explanation of how and why each document </w:t>
      </w:r>
      <w:r w:rsidR="005F17A1" w:rsidRPr="00BD2BDF">
        <w:rPr>
          <w:rFonts w:ascii="Times New Roman" w:hAnsi="Times New Roman" w:cs="Times New Roman"/>
        </w:rPr>
        <w:t xml:space="preserve">pertains to the comparative analysis. </w:t>
      </w:r>
      <w:r w:rsidR="006E743B" w:rsidRPr="00BD2BDF">
        <w:rPr>
          <w:rFonts w:ascii="Times New Roman" w:hAnsi="Times New Roman" w:cs="Times New Roman"/>
        </w:rPr>
        <w:t xml:space="preserve">This includes how each document </w:t>
      </w:r>
      <w:r w:rsidR="00F45F23" w:rsidRPr="00BD2BDF">
        <w:rPr>
          <w:rFonts w:ascii="Times New Roman" w:hAnsi="Times New Roman" w:cs="Times New Roman"/>
        </w:rPr>
        <w:t xml:space="preserve">has been analyzed in a comparative manner </w:t>
      </w:r>
      <w:r w:rsidR="006E743B" w:rsidRPr="00BD2BDF">
        <w:rPr>
          <w:rFonts w:ascii="Times New Roman" w:hAnsi="Times New Roman" w:cs="Times New Roman"/>
        </w:rPr>
        <w:t>and how t</w:t>
      </w:r>
      <w:r w:rsidR="00F45F23" w:rsidRPr="00BD2BDF">
        <w:rPr>
          <w:rFonts w:ascii="Times New Roman" w:hAnsi="Times New Roman" w:cs="Times New Roman"/>
        </w:rPr>
        <w:t xml:space="preserve">he comparability and stringency </w:t>
      </w:r>
      <w:r w:rsidR="006E743B" w:rsidRPr="00BD2BDF">
        <w:rPr>
          <w:rFonts w:ascii="Times New Roman" w:hAnsi="Times New Roman" w:cs="Times New Roman"/>
        </w:rPr>
        <w:t xml:space="preserve">NQTL </w:t>
      </w:r>
      <w:r w:rsidR="00F45F23" w:rsidRPr="00BD2BDF">
        <w:rPr>
          <w:rFonts w:ascii="Times New Roman" w:hAnsi="Times New Roman" w:cs="Times New Roman"/>
        </w:rPr>
        <w:t xml:space="preserve">tests have been </w:t>
      </w:r>
      <w:r w:rsidR="00EA6DAB" w:rsidRPr="00BD2BDF">
        <w:rPr>
          <w:rFonts w:ascii="Times New Roman" w:hAnsi="Times New Roman" w:cs="Times New Roman"/>
        </w:rPr>
        <w:t>met</w:t>
      </w:r>
      <w:r w:rsidR="006E743B" w:rsidRPr="00BD2BDF">
        <w:rPr>
          <w:rFonts w:ascii="Times New Roman" w:hAnsi="Times New Roman" w:cs="Times New Roman"/>
        </w:rPr>
        <w:t>, b</w:t>
      </w:r>
      <w:r w:rsidR="00E76932">
        <w:rPr>
          <w:rFonts w:ascii="Times New Roman" w:hAnsi="Times New Roman" w:cs="Times New Roman"/>
        </w:rPr>
        <w:t>oth in writing and in operation</w:t>
      </w:r>
      <w:r w:rsidRPr="00BD2BDF">
        <w:rPr>
          <w:rFonts w:ascii="Times New Roman" w:hAnsi="Times New Roman" w:cs="Times New Roman"/>
        </w:rPr>
        <w:t xml:space="preserve">; </w:t>
      </w:r>
    </w:p>
    <w:p w14:paraId="20208331" w14:textId="062F53D0" w:rsidR="004C4D44" w:rsidRPr="00BD2BDF" w:rsidRDefault="004C4D44" w:rsidP="004C4D44">
      <w:pPr>
        <w:rPr>
          <w:rFonts w:ascii="Times New Roman" w:hAnsi="Times New Roman" w:cs="Times New Roman"/>
        </w:rPr>
      </w:pPr>
      <w:r w:rsidRPr="00DA712D">
        <w:rPr>
          <w:rFonts w:ascii="Times New Roman" w:hAnsi="Times New Roman" w:cs="Times New Roman"/>
        </w:rPr>
        <w:t xml:space="preserve">2.  </w:t>
      </w:r>
      <w:r w:rsidR="006E743B" w:rsidRPr="00DA712D">
        <w:rPr>
          <w:rFonts w:ascii="Times New Roman" w:hAnsi="Times New Roman" w:cs="Times New Roman"/>
        </w:rPr>
        <w:t>G</w:t>
      </w:r>
      <w:r w:rsidRPr="00DA712D">
        <w:rPr>
          <w:rFonts w:ascii="Times New Roman" w:hAnsi="Times New Roman" w:cs="Times New Roman"/>
        </w:rPr>
        <w:t>eneralized statements</w:t>
      </w:r>
      <w:r w:rsidR="006E743B" w:rsidRPr="00DA712D">
        <w:rPr>
          <w:rFonts w:ascii="Times New Roman" w:hAnsi="Times New Roman" w:cs="Times New Roman"/>
        </w:rPr>
        <w:t xml:space="preserve"> concerning factors, processes, standards, procedures, etc.</w:t>
      </w:r>
      <w:r w:rsidR="00DA712D" w:rsidRPr="00DA712D">
        <w:rPr>
          <w:rFonts w:ascii="Times New Roman" w:hAnsi="Times New Roman" w:cs="Times New Roman"/>
        </w:rPr>
        <w:t>,</w:t>
      </w:r>
      <w:r w:rsidR="006E743B" w:rsidRPr="00DA712D">
        <w:rPr>
          <w:rFonts w:ascii="Times New Roman" w:hAnsi="Times New Roman" w:cs="Times New Roman"/>
        </w:rPr>
        <w:t xml:space="preserve"> as well as </w:t>
      </w:r>
      <w:r w:rsidRPr="00DA712D">
        <w:rPr>
          <w:rFonts w:ascii="Times New Roman" w:hAnsi="Times New Roman" w:cs="Times New Roman"/>
        </w:rPr>
        <w:t>mere recitations of the legal standard</w:t>
      </w:r>
      <w:r w:rsidR="006E743B" w:rsidRPr="00DA712D">
        <w:rPr>
          <w:rFonts w:ascii="Times New Roman" w:hAnsi="Times New Roman" w:cs="Times New Roman"/>
        </w:rPr>
        <w:t xml:space="preserve"> and conclusions regarding compliance</w:t>
      </w:r>
      <w:r w:rsidRPr="00DA712D">
        <w:rPr>
          <w:rFonts w:ascii="Times New Roman" w:hAnsi="Times New Roman" w:cs="Times New Roman"/>
        </w:rPr>
        <w:t xml:space="preserve">, without specific supporting </w:t>
      </w:r>
      <w:r w:rsidR="00F45F23" w:rsidRPr="00DA712D">
        <w:rPr>
          <w:rFonts w:ascii="Times New Roman" w:hAnsi="Times New Roman" w:cs="Times New Roman"/>
        </w:rPr>
        <w:t>evidence</w:t>
      </w:r>
      <w:r w:rsidR="006E743B" w:rsidRPr="00DA712D">
        <w:rPr>
          <w:rFonts w:ascii="Times New Roman" w:hAnsi="Times New Roman" w:cs="Times New Roman"/>
        </w:rPr>
        <w:t xml:space="preserve"> </w:t>
      </w:r>
      <w:r w:rsidRPr="00DA712D">
        <w:rPr>
          <w:rFonts w:ascii="Times New Roman" w:hAnsi="Times New Roman" w:cs="Times New Roman"/>
        </w:rPr>
        <w:t>and detailed explanations</w:t>
      </w:r>
      <w:r w:rsidR="005F17A1" w:rsidRPr="00DA712D">
        <w:rPr>
          <w:rFonts w:ascii="Times New Roman" w:hAnsi="Times New Roman" w:cs="Times New Roman"/>
        </w:rPr>
        <w:t xml:space="preserve"> of comparative analyses</w:t>
      </w:r>
      <w:r w:rsidRPr="00DA712D">
        <w:rPr>
          <w:rFonts w:ascii="Times New Roman" w:hAnsi="Times New Roman" w:cs="Times New Roman"/>
        </w:rPr>
        <w:t>;</w:t>
      </w:r>
      <w:r w:rsidRPr="00BD2BDF">
        <w:rPr>
          <w:rFonts w:ascii="Times New Roman" w:hAnsi="Times New Roman" w:cs="Times New Roman"/>
        </w:rPr>
        <w:t xml:space="preserve"> </w:t>
      </w:r>
    </w:p>
    <w:p w14:paraId="6BD3A415" w14:textId="11C5FDFB" w:rsidR="00DA712D" w:rsidRPr="00BD2BDF" w:rsidRDefault="00DA712D" w:rsidP="00DA712D">
      <w:pPr>
        <w:rPr>
          <w:rFonts w:ascii="Times New Roman" w:hAnsi="Times New Roman" w:cs="Times New Roman"/>
        </w:rPr>
      </w:pPr>
      <w:r w:rsidRPr="00BD2BDF">
        <w:rPr>
          <w:rFonts w:ascii="Times New Roman" w:hAnsi="Times New Roman" w:cs="Times New Roman"/>
        </w:rPr>
        <w:t xml:space="preserve">3. Identification of factors, evidentiary standards, and strategies without </w:t>
      </w:r>
      <w:r w:rsidR="00FB582E">
        <w:rPr>
          <w:rFonts w:ascii="Times New Roman" w:hAnsi="Times New Roman" w:cs="Times New Roman"/>
        </w:rPr>
        <w:t xml:space="preserve">a </w:t>
      </w:r>
      <w:r w:rsidRPr="00BD2BDF">
        <w:rPr>
          <w:rFonts w:ascii="Times New Roman" w:hAnsi="Times New Roman" w:cs="Times New Roman"/>
        </w:rPr>
        <w:t xml:space="preserve">clear </w:t>
      </w:r>
      <w:r w:rsidR="00FB582E" w:rsidRPr="00FB582E">
        <w:rPr>
          <w:rFonts w:ascii="Times New Roman" w:hAnsi="Times New Roman" w:cs="Times New Roman"/>
        </w:rPr>
        <w:t xml:space="preserve">description of how the factors, evidentiary standards, and strategies are </w:t>
      </w:r>
      <w:r w:rsidR="00FB582E">
        <w:rPr>
          <w:rFonts w:ascii="Times New Roman" w:hAnsi="Times New Roman" w:cs="Times New Roman"/>
        </w:rPr>
        <w:t xml:space="preserve">defined and </w:t>
      </w:r>
      <w:r w:rsidR="00FB582E" w:rsidRPr="00FB582E">
        <w:rPr>
          <w:rFonts w:ascii="Times New Roman" w:hAnsi="Times New Roman" w:cs="Times New Roman"/>
        </w:rPr>
        <w:t>applied for M/S or MH/SUD benefits</w:t>
      </w:r>
      <w:r>
        <w:rPr>
          <w:rFonts w:ascii="Times New Roman" w:hAnsi="Times New Roman" w:cs="Times New Roman"/>
        </w:rPr>
        <w:t>;</w:t>
      </w:r>
    </w:p>
    <w:p w14:paraId="1A55AF3E" w14:textId="3ED3BB1F" w:rsidR="004C4D44" w:rsidRPr="00BD2BDF" w:rsidRDefault="005F17A1" w:rsidP="004C4D44">
      <w:pPr>
        <w:rPr>
          <w:rFonts w:ascii="Times New Roman" w:hAnsi="Times New Roman" w:cs="Times New Roman"/>
        </w:rPr>
      </w:pPr>
      <w:r w:rsidRPr="00BD2BDF">
        <w:rPr>
          <w:rFonts w:ascii="Times New Roman" w:hAnsi="Times New Roman" w:cs="Times New Roman"/>
        </w:rPr>
        <w:t>4</w:t>
      </w:r>
      <w:r w:rsidR="004C4D44" w:rsidRPr="00BD2BDF">
        <w:rPr>
          <w:rFonts w:ascii="Times New Roman" w:hAnsi="Times New Roman" w:cs="Times New Roman"/>
        </w:rPr>
        <w:t>. Identification of processes, strategies, sources, and factors without the required clear and detailed comparative analys</w:t>
      </w:r>
      <w:r w:rsidR="001D0BFB" w:rsidRPr="00BD2BDF">
        <w:rPr>
          <w:rFonts w:ascii="Times New Roman" w:hAnsi="Times New Roman" w:cs="Times New Roman"/>
        </w:rPr>
        <w:t>e</w:t>
      </w:r>
      <w:r w:rsidR="004C4D44" w:rsidRPr="00BD2BDF">
        <w:rPr>
          <w:rFonts w:ascii="Times New Roman" w:hAnsi="Times New Roman" w:cs="Times New Roman"/>
        </w:rPr>
        <w:t xml:space="preserve">s; </w:t>
      </w:r>
    </w:p>
    <w:p w14:paraId="13DE2156" w14:textId="5AAEC50C" w:rsidR="00DA712D" w:rsidRDefault="00EA6DAB" w:rsidP="004C4D44">
      <w:pPr>
        <w:rPr>
          <w:rFonts w:ascii="Times New Roman" w:hAnsi="Times New Roman" w:cs="Times New Roman"/>
        </w:rPr>
      </w:pPr>
      <w:r w:rsidRPr="00BD2BDF">
        <w:rPr>
          <w:rFonts w:ascii="Times New Roman" w:hAnsi="Times New Roman" w:cs="Times New Roman"/>
        </w:rPr>
        <w:t>5</w:t>
      </w:r>
      <w:r w:rsidR="005F17A1" w:rsidRPr="00BD2BDF">
        <w:rPr>
          <w:rFonts w:ascii="Times New Roman" w:hAnsi="Times New Roman" w:cs="Times New Roman"/>
        </w:rPr>
        <w:t>.</w:t>
      </w:r>
      <w:r w:rsidRPr="00BD2BDF">
        <w:rPr>
          <w:rFonts w:ascii="Times New Roman" w:hAnsi="Times New Roman" w:cs="Times New Roman"/>
        </w:rPr>
        <w:t xml:space="preserve"> Statements that all factors, evidentiary standards</w:t>
      </w:r>
      <w:r w:rsidR="001D0BFB" w:rsidRPr="00BD2BDF">
        <w:rPr>
          <w:rFonts w:ascii="Times New Roman" w:hAnsi="Times New Roman" w:cs="Times New Roman"/>
        </w:rPr>
        <w:t xml:space="preserve"> and/or criteria</w:t>
      </w:r>
      <w:r w:rsidR="005F17A1" w:rsidRPr="00BD2BDF">
        <w:rPr>
          <w:rFonts w:ascii="Times New Roman" w:hAnsi="Times New Roman" w:cs="Times New Roman"/>
        </w:rPr>
        <w:t xml:space="preserve">, processes and/or strategies </w:t>
      </w:r>
      <w:r w:rsidRPr="00BD2BDF">
        <w:rPr>
          <w:rFonts w:ascii="Times New Roman" w:hAnsi="Times New Roman" w:cs="Times New Roman"/>
        </w:rPr>
        <w:t>are the same for M/S and MH/SUD without detailed definitions and specific comparative analyses for each factor</w:t>
      </w:r>
      <w:r w:rsidR="005F17A1" w:rsidRPr="00BD2BDF">
        <w:rPr>
          <w:rFonts w:ascii="Times New Roman" w:hAnsi="Times New Roman" w:cs="Times New Roman"/>
        </w:rPr>
        <w:t>, evidentiary</w:t>
      </w:r>
      <w:r w:rsidRPr="00BD2BDF">
        <w:rPr>
          <w:rFonts w:ascii="Times New Roman" w:hAnsi="Times New Roman" w:cs="Times New Roman"/>
        </w:rPr>
        <w:t xml:space="preserve"> standard</w:t>
      </w:r>
      <w:r w:rsidR="005F17A1" w:rsidRPr="00BD2BDF">
        <w:rPr>
          <w:rFonts w:ascii="Times New Roman" w:hAnsi="Times New Roman" w:cs="Times New Roman"/>
        </w:rPr>
        <w:t xml:space="preserve">, </w:t>
      </w:r>
      <w:r w:rsidR="001D0BFB" w:rsidRPr="00BD2BDF">
        <w:rPr>
          <w:rFonts w:ascii="Times New Roman" w:hAnsi="Times New Roman" w:cs="Times New Roman"/>
        </w:rPr>
        <w:t xml:space="preserve">criteria, </w:t>
      </w:r>
      <w:r w:rsidR="005F17A1" w:rsidRPr="00BD2BDF">
        <w:rPr>
          <w:rFonts w:ascii="Times New Roman" w:hAnsi="Times New Roman" w:cs="Times New Roman"/>
        </w:rPr>
        <w:t>process, strategy, etc.</w:t>
      </w:r>
      <w:r w:rsidRPr="00BD2BDF">
        <w:rPr>
          <w:rFonts w:ascii="Times New Roman" w:hAnsi="Times New Roman" w:cs="Times New Roman"/>
        </w:rPr>
        <w:t xml:space="preserve"> that </w:t>
      </w:r>
      <w:r w:rsidR="00DA712D">
        <w:rPr>
          <w:rFonts w:ascii="Times New Roman" w:hAnsi="Times New Roman" w:cs="Times New Roman"/>
        </w:rPr>
        <w:t>substantiate</w:t>
      </w:r>
      <w:r w:rsidR="005F17A1" w:rsidRPr="00BD2BDF">
        <w:rPr>
          <w:rFonts w:ascii="Times New Roman" w:hAnsi="Times New Roman" w:cs="Times New Roman"/>
        </w:rPr>
        <w:t xml:space="preserve"> </w:t>
      </w:r>
      <w:r w:rsidR="00F0145E" w:rsidRPr="00BD2BDF">
        <w:rPr>
          <w:rFonts w:ascii="Times New Roman" w:hAnsi="Times New Roman" w:cs="Times New Roman"/>
        </w:rPr>
        <w:t>such statements</w:t>
      </w:r>
      <w:r w:rsidR="002844CA">
        <w:rPr>
          <w:rFonts w:ascii="Times New Roman" w:hAnsi="Times New Roman" w:cs="Times New Roman"/>
        </w:rPr>
        <w:t>;</w:t>
      </w:r>
      <w:r w:rsidR="002844CA" w:rsidRPr="00BD2BDF">
        <w:rPr>
          <w:rFonts w:ascii="Times New Roman" w:hAnsi="Times New Roman" w:cs="Times New Roman"/>
        </w:rPr>
        <w:t xml:space="preserve"> </w:t>
      </w:r>
    </w:p>
    <w:p w14:paraId="51EC2043" w14:textId="7BDA1C83" w:rsidR="00BD2BDF" w:rsidRDefault="00BD2BDF" w:rsidP="004C4D44">
      <w:pPr>
        <w:rPr>
          <w:rFonts w:ascii="Times New Roman" w:hAnsi="Times New Roman" w:cs="Times New Roman"/>
        </w:rPr>
      </w:pPr>
      <w:r>
        <w:rPr>
          <w:rFonts w:ascii="Times New Roman" w:hAnsi="Times New Roman" w:cs="Times New Roman"/>
        </w:rPr>
        <w:t xml:space="preserve">6. </w:t>
      </w:r>
      <w:r w:rsidR="004C4D44" w:rsidRPr="00BD2BDF">
        <w:rPr>
          <w:rFonts w:ascii="Times New Roman" w:hAnsi="Times New Roman" w:cs="Times New Roman"/>
        </w:rPr>
        <w:t>Reference to factors</w:t>
      </w:r>
      <w:r w:rsidR="00F45F23" w:rsidRPr="00BD2BDF">
        <w:rPr>
          <w:rFonts w:ascii="Times New Roman" w:hAnsi="Times New Roman" w:cs="Times New Roman"/>
        </w:rPr>
        <w:t xml:space="preserve">, </w:t>
      </w:r>
      <w:r w:rsidR="004C4D44" w:rsidRPr="00BD2BDF">
        <w:rPr>
          <w:rFonts w:ascii="Times New Roman" w:hAnsi="Times New Roman" w:cs="Times New Roman"/>
        </w:rPr>
        <w:t>evidentiary standards</w:t>
      </w:r>
      <w:r w:rsidR="00DA712D">
        <w:rPr>
          <w:rFonts w:ascii="Times New Roman" w:hAnsi="Times New Roman" w:cs="Times New Roman"/>
        </w:rPr>
        <w:t>,</w:t>
      </w:r>
      <w:r w:rsidR="001D0BFB" w:rsidRPr="00BD2BDF">
        <w:rPr>
          <w:rFonts w:ascii="Times New Roman" w:hAnsi="Times New Roman" w:cs="Times New Roman"/>
        </w:rPr>
        <w:t xml:space="preserve"> and/or criteria </w:t>
      </w:r>
      <w:r w:rsidR="004C4D44" w:rsidRPr="00BD2BDF">
        <w:rPr>
          <w:rFonts w:ascii="Times New Roman" w:hAnsi="Times New Roman" w:cs="Times New Roman"/>
        </w:rPr>
        <w:t xml:space="preserve">that </w:t>
      </w:r>
      <w:r w:rsidR="00F0145E" w:rsidRPr="00BD2BDF">
        <w:rPr>
          <w:rFonts w:ascii="Times New Roman" w:hAnsi="Times New Roman" w:cs="Times New Roman"/>
        </w:rPr>
        <w:t xml:space="preserve">inherently rely on </w:t>
      </w:r>
      <w:r w:rsidR="001D0BFB" w:rsidRPr="008C72B9">
        <w:rPr>
          <w:rFonts w:ascii="Times New Roman" w:hAnsi="Times New Roman" w:cs="Times New Roman"/>
        </w:rPr>
        <w:t xml:space="preserve">quantitative measures </w:t>
      </w:r>
      <w:r w:rsidR="00C03E70">
        <w:rPr>
          <w:rFonts w:ascii="Times New Roman" w:hAnsi="Times New Roman" w:cs="Times New Roman"/>
        </w:rPr>
        <w:t>and/</w:t>
      </w:r>
      <w:r w:rsidR="00F0145E" w:rsidRPr="00BD2BDF">
        <w:rPr>
          <w:rFonts w:ascii="Times New Roman" w:hAnsi="Times New Roman" w:cs="Times New Roman"/>
        </w:rPr>
        <w:t xml:space="preserve">or </w:t>
      </w:r>
      <w:r w:rsidR="00DA712D">
        <w:rPr>
          <w:rFonts w:ascii="Times New Roman" w:hAnsi="Times New Roman" w:cs="Times New Roman"/>
        </w:rPr>
        <w:t>are</w:t>
      </w:r>
      <w:r w:rsidR="004C4D44" w:rsidRPr="00BD2BDF">
        <w:rPr>
          <w:rFonts w:ascii="Times New Roman" w:hAnsi="Times New Roman" w:cs="Times New Roman"/>
        </w:rPr>
        <w:t xml:space="preserve"> defined or applied in a quantitative manner, without the precise </w:t>
      </w:r>
      <w:r w:rsidR="00F0145E" w:rsidRPr="00BD2BDF">
        <w:rPr>
          <w:rFonts w:ascii="Times New Roman" w:hAnsi="Times New Roman" w:cs="Times New Roman"/>
        </w:rPr>
        <w:t xml:space="preserve">quantitative </w:t>
      </w:r>
      <w:r w:rsidR="004C4D44" w:rsidRPr="00BD2BDF">
        <w:rPr>
          <w:rFonts w:ascii="Times New Roman" w:hAnsi="Times New Roman" w:cs="Times New Roman"/>
        </w:rPr>
        <w:t>definitions</w:t>
      </w:r>
      <w:r w:rsidR="002844CA">
        <w:rPr>
          <w:rFonts w:ascii="Times New Roman" w:hAnsi="Times New Roman" w:cs="Times New Roman"/>
        </w:rPr>
        <w:t>;</w:t>
      </w:r>
      <w:r>
        <w:rPr>
          <w:rFonts w:ascii="Times New Roman" w:hAnsi="Times New Roman" w:cs="Times New Roman"/>
        </w:rPr>
        <w:t xml:space="preserve"> </w:t>
      </w:r>
    </w:p>
    <w:p w14:paraId="7C87305B" w14:textId="351B8D92" w:rsidR="00DA712D" w:rsidRDefault="00BD2BDF" w:rsidP="004C4D44">
      <w:pPr>
        <w:rPr>
          <w:rFonts w:ascii="Times New Roman" w:hAnsi="Times New Roman" w:cs="Times New Roman"/>
          <w:b/>
        </w:rPr>
      </w:pPr>
      <w:r>
        <w:rPr>
          <w:rFonts w:ascii="Times New Roman" w:hAnsi="Times New Roman" w:cs="Times New Roman"/>
        </w:rPr>
        <w:t xml:space="preserve">7. </w:t>
      </w:r>
      <w:r w:rsidRPr="00BD2BDF">
        <w:rPr>
          <w:rFonts w:ascii="Times New Roman" w:hAnsi="Times New Roman" w:cs="Times New Roman"/>
        </w:rPr>
        <w:t>Responses that do not</w:t>
      </w:r>
      <w:r w:rsidR="00DA712D">
        <w:rPr>
          <w:rFonts w:ascii="Times New Roman" w:hAnsi="Times New Roman" w:cs="Times New Roman"/>
        </w:rPr>
        <w:t xml:space="preserve"> to include</w:t>
      </w:r>
      <w:r w:rsidRPr="00BD2BDF">
        <w:rPr>
          <w:rFonts w:ascii="Times New Roman" w:hAnsi="Times New Roman" w:cs="Times New Roman"/>
        </w:rPr>
        <w:t xml:space="preserve"> </w:t>
      </w:r>
      <w:r w:rsidR="00F45F23" w:rsidRPr="00BD2BDF">
        <w:rPr>
          <w:rFonts w:ascii="Times New Roman" w:hAnsi="Times New Roman" w:cs="Times New Roman"/>
        </w:rPr>
        <w:t>comparative analyses</w:t>
      </w:r>
      <w:r w:rsidR="00DA712D">
        <w:rPr>
          <w:rFonts w:ascii="Times New Roman" w:hAnsi="Times New Roman" w:cs="Times New Roman"/>
        </w:rPr>
        <w:t>,</w:t>
      </w:r>
      <w:r w:rsidR="00F45F23" w:rsidRPr="00BD2BDF">
        <w:rPr>
          <w:rFonts w:ascii="Times New Roman" w:hAnsi="Times New Roman" w:cs="Times New Roman"/>
        </w:rPr>
        <w:t xml:space="preserve"> including </w:t>
      </w:r>
      <w:r w:rsidR="00EA6DAB" w:rsidRPr="00BD2BDF">
        <w:rPr>
          <w:rFonts w:ascii="Times New Roman" w:hAnsi="Times New Roman" w:cs="Times New Roman"/>
        </w:rPr>
        <w:t>results,</w:t>
      </w:r>
      <w:r w:rsidR="004C4D44" w:rsidRPr="00BD2BDF">
        <w:rPr>
          <w:rFonts w:ascii="Times New Roman" w:hAnsi="Times New Roman" w:cs="Times New Roman"/>
        </w:rPr>
        <w:t xml:space="preserve"> and information necessary to </w:t>
      </w:r>
      <w:r w:rsidR="00FB582E">
        <w:rPr>
          <w:rFonts w:ascii="Times New Roman" w:hAnsi="Times New Roman" w:cs="Times New Roman"/>
        </w:rPr>
        <w:t>examine</w:t>
      </w:r>
      <w:r w:rsidR="004C4D44" w:rsidRPr="00BD2BDF">
        <w:rPr>
          <w:rFonts w:ascii="Times New Roman" w:hAnsi="Times New Roman" w:cs="Times New Roman"/>
        </w:rPr>
        <w:t xml:space="preserve"> the development </w:t>
      </w:r>
      <w:r w:rsidR="00F0145E" w:rsidRPr="00BD2BDF">
        <w:rPr>
          <w:rFonts w:ascii="Times New Roman" w:hAnsi="Times New Roman" w:cs="Times New Roman"/>
        </w:rPr>
        <w:t>and/</w:t>
      </w:r>
      <w:r w:rsidR="004C4D44" w:rsidRPr="00BD2BDF">
        <w:rPr>
          <w:rFonts w:ascii="Times New Roman" w:hAnsi="Times New Roman" w:cs="Times New Roman"/>
        </w:rPr>
        <w:t>or application</w:t>
      </w:r>
      <w:r w:rsidRPr="00BD2BDF">
        <w:rPr>
          <w:rFonts w:ascii="Times New Roman" w:hAnsi="Times New Roman" w:cs="Times New Roman"/>
        </w:rPr>
        <w:t xml:space="preserve"> </w:t>
      </w:r>
      <w:r w:rsidR="00DA712D">
        <w:rPr>
          <w:rFonts w:ascii="Times New Roman" w:hAnsi="Times New Roman" w:cs="Times New Roman"/>
        </w:rPr>
        <w:t xml:space="preserve">of </w:t>
      </w:r>
      <w:r w:rsidRPr="00BD2BDF">
        <w:rPr>
          <w:rFonts w:ascii="Times New Roman" w:hAnsi="Times New Roman" w:cs="Times New Roman"/>
        </w:rPr>
        <w:t>ea</w:t>
      </w:r>
      <w:r w:rsidR="00DA712D">
        <w:rPr>
          <w:rFonts w:ascii="Times New Roman" w:hAnsi="Times New Roman" w:cs="Times New Roman"/>
        </w:rPr>
        <w:t>ch NQTL, and do not clarify the</w:t>
      </w:r>
      <w:r w:rsidR="00F45F23" w:rsidRPr="00BD2BDF">
        <w:rPr>
          <w:rFonts w:ascii="Times New Roman" w:hAnsi="Times New Roman" w:cs="Times New Roman"/>
        </w:rPr>
        <w:t xml:space="preserve"> methodolog</w:t>
      </w:r>
      <w:r>
        <w:rPr>
          <w:rFonts w:ascii="Times New Roman" w:hAnsi="Times New Roman" w:cs="Times New Roman"/>
        </w:rPr>
        <w:t>ies</w:t>
      </w:r>
      <w:r w:rsidR="00F45F23" w:rsidRPr="00BD2BDF">
        <w:rPr>
          <w:rFonts w:ascii="Times New Roman" w:hAnsi="Times New Roman" w:cs="Times New Roman"/>
        </w:rPr>
        <w:t xml:space="preserve"> </w:t>
      </w:r>
      <w:r w:rsidR="00DA712D">
        <w:rPr>
          <w:rFonts w:ascii="Times New Roman" w:hAnsi="Times New Roman" w:cs="Times New Roman"/>
        </w:rPr>
        <w:t>utilized for such</w:t>
      </w:r>
      <w:r w:rsidR="00F45F23" w:rsidRPr="00BD2BDF">
        <w:rPr>
          <w:rFonts w:ascii="Times New Roman" w:hAnsi="Times New Roman" w:cs="Times New Roman"/>
        </w:rPr>
        <w:t xml:space="preserve"> </w:t>
      </w:r>
      <w:r w:rsidRPr="008C72B9">
        <w:rPr>
          <w:rFonts w:ascii="Times New Roman" w:hAnsi="Times New Roman" w:cs="Times New Roman"/>
        </w:rPr>
        <w:t xml:space="preserve">comparative </w:t>
      </w:r>
      <w:r w:rsidR="00F45F23" w:rsidRPr="00BD2BDF">
        <w:rPr>
          <w:rFonts w:ascii="Times New Roman" w:hAnsi="Times New Roman" w:cs="Times New Roman"/>
        </w:rPr>
        <w:t>analyses</w:t>
      </w:r>
      <w:r w:rsidR="002844CA">
        <w:rPr>
          <w:rFonts w:ascii="Times New Roman" w:hAnsi="Times New Roman" w:cs="Times New Roman"/>
          <w:b/>
        </w:rPr>
        <w:t>;</w:t>
      </w:r>
    </w:p>
    <w:p w14:paraId="102F6937" w14:textId="6C29E5C4" w:rsidR="00DA0573" w:rsidRDefault="00DA712D" w:rsidP="004C4D44">
      <w:pPr>
        <w:rPr>
          <w:rFonts w:ascii="Times New Roman" w:hAnsi="Times New Roman" w:cs="Times New Roman"/>
        </w:rPr>
      </w:pPr>
      <w:r>
        <w:rPr>
          <w:rFonts w:ascii="Times New Roman" w:hAnsi="Times New Roman" w:cs="Times New Roman"/>
        </w:rPr>
        <w:t>8</w:t>
      </w:r>
      <w:r w:rsidR="004C4D44" w:rsidRPr="00DA0573">
        <w:rPr>
          <w:rFonts w:ascii="Times New Roman" w:hAnsi="Times New Roman" w:cs="Times New Roman"/>
        </w:rPr>
        <w:t xml:space="preserve">. </w:t>
      </w:r>
      <w:r w:rsidR="00AF0AC0" w:rsidRPr="00DA0573">
        <w:rPr>
          <w:rFonts w:ascii="Times New Roman" w:hAnsi="Times New Roman" w:cs="Times New Roman"/>
        </w:rPr>
        <w:t>Analys</w:t>
      </w:r>
      <w:r w:rsidR="00F45F23">
        <w:rPr>
          <w:rFonts w:ascii="Times New Roman" w:hAnsi="Times New Roman" w:cs="Times New Roman"/>
        </w:rPr>
        <w:t xml:space="preserve">is </w:t>
      </w:r>
      <w:r w:rsidR="00AF0AC0" w:rsidRPr="00DA0573">
        <w:rPr>
          <w:rFonts w:ascii="Times New Roman" w:hAnsi="Times New Roman" w:cs="Times New Roman"/>
        </w:rPr>
        <w:t>that is not for the applicable time period</w:t>
      </w:r>
      <w:r w:rsidR="002844CA">
        <w:rPr>
          <w:rFonts w:ascii="Times New Roman" w:hAnsi="Times New Roman" w:cs="Times New Roman"/>
        </w:rPr>
        <w:t>;</w:t>
      </w:r>
    </w:p>
    <w:p w14:paraId="2FC275E6" w14:textId="6DA53830" w:rsidR="00306FE3" w:rsidRDefault="00DA712D" w:rsidP="00306FE3">
      <w:pPr>
        <w:rPr>
          <w:rFonts w:ascii="Times New Roman" w:hAnsi="Times New Roman" w:cs="Times New Roman"/>
        </w:rPr>
      </w:pPr>
      <w:r>
        <w:rPr>
          <w:rFonts w:ascii="Times New Roman" w:hAnsi="Times New Roman" w:cs="Times New Roman"/>
        </w:rPr>
        <w:t>9</w:t>
      </w:r>
      <w:r w:rsidR="00DA0573">
        <w:rPr>
          <w:rFonts w:ascii="Times New Roman" w:hAnsi="Times New Roman" w:cs="Times New Roman"/>
        </w:rPr>
        <w:t xml:space="preserve">. </w:t>
      </w:r>
      <w:r w:rsidR="004C4D44" w:rsidRPr="00DA0573">
        <w:rPr>
          <w:rFonts w:ascii="Times New Roman" w:hAnsi="Times New Roman" w:cs="Times New Roman"/>
        </w:rPr>
        <w:t xml:space="preserve">Analysis that is </w:t>
      </w:r>
      <w:r w:rsidR="00AF0AC0" w:rsidRPr="00DA0573">
        <w:rPr>
          <w:rFonts w:ascii="Times New Roman" w:hAnsi="Times New Roman" w:cs="Times New Roman"/>
        </w:rPr>
        <w:t xml:space="preserve">obsolete </w:t>
      </w:r>
      <w:r w:rsidR="004C4D44" w:rsidRPr="00DA0573">
        <w:rPr>
          <w:rFonts w:ascii="Times New Roman" w:hAnsi="Times New Roman" w:cs="Times New Roman"/>
        </w:rPr>
        <w:t>due to the passage of time, a change in plan structure, or for any other reason</w:t>
      </w:r>
      <w:r w:rsidR="002844CA">
        <w:rPr>
          <w:rFonts w:ascii="Times New Roman" w:hAnsi="Times New Roman" w:cs="Times New Roman"/>
        </w:rPr>
        <w:t xml:space="preserve">; </w:t>
      </w:r>
    </w:p>
    <w:p w14:paraId="220A1C84" w14:textId="4DA6FEBB" w:rsidR="005753F5" w:rsidRDefault="005753F5" w:rsidP="00306FE3">
      <w:pPr>
        <w:rPr>
          <w:rFonts w:ascii="Times New Roman" w:hAnsi="Times New Roman" w:cs="Times New Roman"/>
        </w:rPr>
      </w:pPr>
      <w:r w:rsidRPr="005753F5">
        <w:rPr>
          <w:rFonts w:ascii="Times New Roman" w:hAnsi="Times New Roman" w:cs="Times New Roman"/>
        </w:rPr>
        <w:t>10. Failure to include specific data used in an analysis or audit to determine whether the NQTL is comparable to and no more stringently applied to MH/SUD benefits than to M/S benefits in operation</w:t>
      </w:r>
      <w:r>
        <w:rPr>
          <w:rFonts w:ascii="Times New Roman" w:hAnsi="Times New Roman" w:cs="Times New Roman"/>
        </w:rPr>
        <w:t>.</w:t>
      </w:r>
    </w:p>
    <w:p w14:paraId="66431309" w14:textId="7F2F3861" w:rsidR="000E1F4C" w:rsidRDefault="000E1F4C" w:rsidP="00306FE3">
      <w:pPr>
        <w:rPr>
          <w:rFonts w:ascii="Times New Roman" w:hAnsi="Times New Roman" w:cs="Times New Roman"/>
        </w:rPr>
      </w:pPr>
      <w:r>
        <w:rPr>
          <w:rFonts w:ascii="Times New Roman" w:hAnsi="Times New Roman" w:cs="Times New Roman"/>
          <w:u w:val="single"/>
        </w:rPr>
        <w:lastRenderedPageBreak/>
        <w:t>Definitions</w:t>
      </w:r>
    </w:p>
    <w:p w14:paraId="06057005" w14:textId="252B32B0" w:rsidR="000E1F4C" w:rsidRDefault="000E1F4C" w:rsidP="000E1F4C">
      <w:pPr>
        <w:rPr>
          <w:rFonts w:ascii="Times New Roman" w:hAnsi="Times New Roman" w:cs="Times New Roman"/>
        </w:rPr>
      </w:pPr>
      <w:r w:rsidRPr="000E1F4C">
        <w:rPr>
          <w:rFonts w:ascii="Times New Roman" w:hAnsi="Times New Roman" w:cs="Times New Roman"/>
        </w:rPr>
        <w:t xml:space="preserve">The terms in the instructions and the analysis report </w:t>
      </w:r>
      <w:r>
        <w:rPr>
          <w:rFonts w:ascii="Times New Roman" w:hAnsi="Times New Roman" w:cs="Times New Roman"/>
        </w:rPr>
        <w:t xml:space="preserve">are defined in </w:t>
      </w:r>
      <w:r w:rsidRPr="000E1F4C">
        <w:rPr>
          <w:rFonts w:ascii="Times New Roman" w:hAnsi="Times New Roman" w:cs="Times New Roman"/>
        </w:rPr>
        <w:t>COMAR 31.10.51</w:t>
      </w:r>
      <w:r>
        <w:rPr>
          <w:rFonts w:ascii="Times New Roman" w:hAnsi="Times New Roman" w:cs="Times New Roman"/>
        </w:rPr>
        <w:t xml:space="preserve"> or have the meaning indicated</w:t>
      </w:r>
      <w:r w:rsidR="00F931E7">
        <w:rPr>
          <w:rFonts w:ascii="Times New Roman" w:hAnsi="Times New Roman" w:cs="Times New Roman"/>
        </w:rPr>
        <w:t xml:space="preserve"> below</w:t>
      </w:r>
      <w:r>
        <w:rPr>
          <w:rFonts w:ascii="Times New Roman" w:hAnsi="Times New Roman" w:cs="Times New Roman"/>
        </w:rPr>
        <w:t>.</w:t>
      </w:r>
      <w:r w:rsidR="00F931E7">
        <w:rPr>
          <w:rFonts w:ascii="Times New Roman" w:hAnsi="Times New Roman" w:cs="Times New Roman"/>
        </w:rPr>
        <w:t xml:space="preserve"> Use of these definitions in completing the report is mandatory.</w:t>
      </w:r>
    </w:p>
    <w:p w14:paraId="537B4E46" w14:textId="38A39985" w:rsidR="000E1F4C" w:rsidRPr="000E1F4C" w:rsidRDefault="000E1F4C" w:rsidP="000E1F4C">
      <w:pPr>
        <w:rPr>
          <w:rFonts w:ascii="Times New Roman" w:hAnsi="Times New Roman" w:cs="Times New Roman"/>
        </w:rPr>
      </w:pPr>
      <w:r w:rsidRPr="000E1F4C">
        <w:rPr>
          <w:rFonts w:ascii="Times New Roman" w:hAnsi="Times New Roman" w:cs="Times New Roman"/>
        </w:rPr>
        <w:t>“Case management” means a program to assist a member</w:t>
      </w:r>
      <w:r w:rsidRPr="000E1F4C">
        <w:rPr>
          <w:rFonts w:ascii="Times New Roman" w:hAnsi="Times New Roman" w:cs="Times New Roman"/>
          <w:b/>
          <w:bCs/>
        </w:rPr>
        <w:t xml:space="preserve"> </w:t>
      </w:r>
      <w:r w:rsidRPr="000E1F4C">
        <w:rPr>
          <w:rFonts w:ascii="Times New Roman" w:hAnsi="Times New Roman" w:cs="Times New Roman"/>
        </w:rPr>
        <w:t xml:space="preserve">in accessing necessary medical, substance use disorder, or mental health services, and may include: </w:t>
      </w:r>
    </w:p>
    <w:p w14:paraId="3C76B7AF" w14:textId="77777777" w:rsidR="000E1F4C" w:rsidRPr="000E1F4C" w:rsidRDefault="000E1F4C" w:rsidP="000E1F4C">
      <w:pPr>
        <w:numPr>
          <w:ilvl w:val="0"/>
          <w:numId w:val="45"/>
        </w:numPr>
        <w:tabs>
          <w:tab w:val="clear" w:pos="720"/>
          <w:tab w:val="num" w:pos="1440"/>
        </w:tabs>
        <w:rPr>
          <w:rFonts w:ascii="Times New Roman" w:hAnsi="Times New Roman" w:cs="Times New Roman"/>
        </w:rPr>
      </w:pPr>
      <w:r w:rsidRPr="000E1F4C">
        <w:rPr>
          <w:rFonts w:ascii="Times New Roman" w:hAnsi="Times New Roman" w:cs="Times New Roman"/>
        </w:rPr>
        <w:t>Coordinating access to care;</w:t>
      </w:r>
    </w:p>
    <w:p w14:paraId="31718FC3" w14:textId="77777777" w:rsidR="000E1F4C" w:rsidRPr="000E1F4C" w:rsidRDefault="000E1F4C" w:rsidP="000E1F4C">
      <w:pPr>
        <w:numPr>
          <w:ilvl w:val="0"/>
          <w:numId w:val="45"/>
        </w:numPr>
        <w:tabs>
          <w:tab w:val="clear" w:pos="720"/>
          <w:tab w:val="num" w:pos="1440"/>
        </w:tabs>
        <w:rPr>
          <w:rFonts w:ascii="Times New Roman" w:hAnsi="Times New Roman" w:cs="Times New Roman"/>
        </w:rPr>
      </w:pPr>
      <w:r w:rsidRPr="000E1F4C">
        <w:rPr>
          <w:rFonts w:ascii="Times New Roman" w:hAnsi="Times New Roman" w:cs="Times New Roman"/>
        </w:rPr>
        <w:t>Exploring service and funding source alternatives;</w:t>
      </w:r>
    </w:p>
    <w:p w14:paraId="6CA507D9" w14:textId="77777777" w:rsidR="000E1F4C" w:rsidRPr="000E1F4C" w:rsidRDefault="000E1F4C" w:rsidP="000E1F4C">
      <w:pPr>
        <w:numPr>
          <w:ilvl w:val="0"/>
          <w:numId w:val="45"/>
        </w:numPr>
        <w:tabs>
          <w:tab w:val="clear" w:pos="720"/>
          <w:tab w:val="num" w:pos="1440"/>
        </w:tabs>
        <w:rPr>
          <w:rFonts w:ascii="Times New Roman" w:hAnsi="Times New Roman" w:cs="Times New Roman"/>
        </w:rPr>
      </w:pPr>
      <w:r w:rsidRPr="000E1F4C">
        <w:rPr>
          <w:rFonts w:ascii="Times New Roman" w:hAnsi="Times New Roman" w:cs="Times New Roman"/>
        </w:rPr>
        <w:t>Monitoring progress to established goals (set by a case manager and the patient);</w:t>
      </w:r>
    </w:p>
    <w:p w14:paraId="122B1223" w14:textId="77777777" w:rsidR="000E1F4C" w:rsidRPr="000E1F4C" w:rsidRDefault="000E1F4C" w:rsidP="000E1F4C">
      <w:pPr>
        <w:numPr>
          <w:ilvl w:val="0"/>
          <w:numId w:val="45"/>
        </w:numPr>
        <w:tabs>
          <w:tab w:val="clear" w:pos="720"/>
          <w:tab w:val="num" w:pos="1440"/>
        </w:tabs>
        <w:rPr>
          <w:rFonts w:ascii="Times New Roman" w:hAnsi="Times New Roman" w:cs="Times New Roman"/>
        </w:rPr>
      </w:pPr>
      <w:r w:rsidRPr="000E1F4C">
        <w:rPr>
          <w:rFonts w:ascii="Times New Roman" w:hAnsi="Times New Roman" w:cs="Times New Roman"/>
        </w:rPr>
        <w:t>Assisting with coordinating discharge planning and follow-up;</w:t>
      </w:r>
    </w:p>
    <w:p w14:paraId="19637766" w14:textId="77777777" w:rsidR="000E1F4C" w:rsidRPr="000E1F4C" w:rsidRDefault="000E1F4C" w:rsidP="000E1F4C">
      <w:pPr>
        <w:numPr>
          <w:ilvl w:val="0"/>
          <w:numId w:val="45"/>
        </w:numPr>
        <w:tabs>
          <w:tab w:val="clear" w:pos="720"/>
          <w:tab w:val="num" w:pos="1440"/>
        </w:tabs>
        <w:rPr>
          <w:rFonts w:ascii="Times New Roman" w:hAnsi="Times New Roman" w:cs="Times New Roman"/>
        </w:rPr>
      </w:pPr>
      <w:r w:rsidRPr="000E1F4C">
        <w:rPr>
          <w:rFonts w:ascii="Times New Roman" w:hAnsi="Times New Roman" w:cs="Times New Roman"/>
        </w:rPr>
        <w:t>Helping ensure the patient's benefits are used effectively.</w:t>
      </w:r>
    </w:p>
    <w:p w14:paraId="5A0DD368" w14:textId="5DC4377F" w:rsidR="00EF718B" w:rsidRPr="006A3971" w:rsidRDefault="00EF718B" w:rsidP="00B56ADE">
      <w:pPr>
        <w:rPr>
          <w:rFonts w:ascii="Times New Roman" w:hAnsi="Times New Roman" w:cs="Times New Roman"/>
          <w:szCs w:val="18"/>
        </w:rPr>
      </w:pPr>
      <w:r w:rsidRPr="006A3971">
        <w:rPr>
          <w:rFonts w:ascii="Times New Roman" w:hAnsi="Times New Roman" w:cs="Times New Roman"/>
          <w:szCs w:val="18"/>
        </w:rPr>
        <w:t>“Concurrent Review” means any process used by the carrier or its private review agent to conduct utilization review for ongoing health care or for an extension of treatment beyond previously approved health care.</w:t>
      </w:r>
    </w:p>
    <w:p w14:paraId="64ABB34D" w14:textId="5607835A" w:rsidR="000E1F4C" w:rsidRDefault="000E1F4C" w:rsidP="000E1F4C">
      <w:pPr>
        <w:rPr>
          <w:rFonts w:ascii="Times New Roman" w:hAnsi="Times New Roman" w:cs="Times New Roman"/>
        </w:rPr>
      </w:pPr>
      <w:r w:rsidRPr="000E1F4C">
        <w:rPr>
          <w:rFonts w:ascii="Times New Roman" w:hAnsi="Times New Roman" w:cs="Times New Roman"/>
        </w:rPr>
        <w:t xml:space="preserve">“Emergency Services” means the treatment of a medical condition, including a mental health condition or substance use disorder, manifesting itself by acute symptoms of sufficient severity (including severe pain) such that the lack of immediate medical attention could reasonably be expected to result in placing the health of the patient, or, in case of pregnancy, the unborn child in serious jeopardy, serious impairment to bodily functions, or serious dysfunction of any bodily organ or part. </w:t>
      </w:r>
    </w:p>
    <w:p w14:paraId="7946EE48" w14:textId="62743D7D" w:rsidR="00954260" w:rsidRDefault="00954260" w:rsidP="000E1F4C">
      <w:pPr>
        <w:rPr>
          <w:rFonts w:ascii="Times New Roman" w:hAnsi="Times New Roman" w:cs="Times New Roman"/>
        </w:rPr>
      </w:pPr>
      <w:r>
        <w:rPr>
          <w:rFonts w:ascii="Times New Roman" w:hAnsi="Times New Roman" w:cs="Times New Roman"/>
        </w:rPr>
        <w:t xml:space="preserve">“Facility” means a person, other than an individual, that provides health care services. “Facility” includes </w:t>
      </w:r>
      <w:r w:rsidR="00BE2452">
        <w:rPr>
          <w:rFonts w:ascii="Times New Roman" w:hAnsi="Times New Roman" w:cs="Times New Roman"/>
        </w:rPr>
        <w:t>entities</w:t>
      </w:r>
      <w:r>
        <w:rPr>
          <w:rFonts w:ascii="Times New Roman" w:hAnsi="Times New Roman" w:cs="Times New Roman"/>
        </w:rPr>
        <w:t xml:space="preserve"> that bill for a </w:t>
      </w:r>
      <w:r w:rsidR="00BE2452">
        <w:rPr>
          <w:rFonts w:ascii="Times New Roman" w:hAnsi="Times New Roman" w:cs="Times New Roman"/>
        </w:rPr>
        <w:t>bundled</w:t>
      </w:r>
      <w:r>
        <w:rPr>
          <w:rFonts w:ascii="Times New Roman" w:hAnsi="Times New Roman" w:cs="Times New Roman"/>
        </w:rPr>
        <w:t xml:space="preserve"> set of services that include services provided by staff employed by the facility. Examples of facilities include hospitals, outpatient radiology centers, and residential treatment centers.</w:t>
      </w:r>
    </w:p>
    <w:p w14:paraId="347EB473" w14:textId="6857E276" w:rsidR="000E1F4C" w:rsidRPr="000E1F4C" w:rsidRDefault="000E1F4C" w:rsidP="000E1F4C">
      <w:pPr>
        <w:rPr>
          <w:rFonts w:ascii="Times New Roman" w:hAnsi="Times New Roman" w:cs="Times New Roman"/>
        </w:rPr>
      </w:pPr>
      <w:r w:rsidRPr="000E1F4C">
        <w:rPr>
          <w:rFonts w:ascii="Times New Roman" w:hAnsi="Times New Roman" w:cs="Times New Roman"/>
        </w:rPr>
        <w:t>“Failure to Complete a Course of Treatment” means a patient’s failure to follow a documented treatment plan prescribed or recommended by a healthcare professional, including</w:t>
      </w:r>
      <w:r w:rsidR="007719FF">
        <w:rPr>
          <w:rFonts w:ascii="Times New Roman" w:hAnsi="Times New Roman" w:cs="Times New Roman"/>
        </w:rPr>
        <w:t xml:space="preserve">, but not limited to, </w:t>
      </w:r>
      <w:r w:rsidRPr="000E1F4C">
        <w:rPr>
          <w:rFonts w:ascii="Times New Roman" w:hAnsi="Times New Roman" w:cs="Times New Roman"/>
        </w:rPr>
        <w:t>on the Uniform Treatment Plan form when the treatment is for mental health or a substance use disorder.</w:t>
      </w:r>
    </w:p>
    <w:p w14:paraId="0E2E01B4" w14:textId="452FCB64" w:rsidR="000E1F4C" w:rsidRDefault="000E1F4C" w:rsidP="000E1F4C">
      <w:pPr>
        <w:rPr>
          <w:rFonts w:ascii="Times New Roman" w:hAnsi="Times New Roman" w:cs="Times New Roman"/>
        </w:rPr>
      </w:pPr>
      <w:r w:rsidRPr="000E1F4C">
        <w:rPr>
          <w:rFonts w:ascii="Times New Roman" w:hAnsi="Times New Roman" w:cs="Times New Roman"/>
        </w:rPr>
        <w:t>“Measures” means the steps, plan, methods, or course of action taken by a carrier to assess compliance in the development and implementation of an NQTL when the carrier has delegated management of covered benefits to another entity.  Measures include written policies, procedures, and guidelines, as well as operational controls, checks, audits, and safeguards.</w:t>
      </w:r>
    </w:p>
    <w:p w14:paraId="553C0F92" w14:textId="77777777" w:rsidR="000E1F4C" w:rsidRPr="000E1F4C" w:rsidRDefault="000E1F4C" w:rsidP="000E1F4C">
      <w:pPr>
        <w:rPr>
          <w:rFonts w:ascii="Times New Roman" w:hAnsi="Times New Roman" w:cs="Times New Roman"/>
        </w:rPr>
      </w:pPr>
      <w:r w:rsidRPr="000E1F4C">
        <w:rPr>
          <w:rFonts w:ascii="Times New Roman" w:hAnsi="Times New Roman" w:cs="Times New Roman"/>
        </w:rPr>
        <w:t>“Pharmacy services” means any of the following activities:</w:t>
      </w:r>
      <w:r w:rsidRPr="000E1F4C">
        <w:rPr>
          <w:rFonts w:ascii="Times New Roman" w:hAnsi="Times New Roman" w:cs="Times New Roman"/>
        </w:rPr>
        <w:br/>
      </w:r>
      <w:r w:rsidRPr="000E1F4C">
        <w:rPr>
          <w:rFonts w:ascii="Times New Roman" w:hAnsi="Times New Roman" w:cs="Times New Roman"/>
        </w:rPr>
        <w:br/>
        <w:t>            (a)    Providing pharmaceutical care;</w:t>
      </w:r>
      <w:r w:rsidRPr="000E1F4C">
        <w:rPr>
          <w:rFonts w:ascii="Times New Roman" w:hAnsi="Times New Roman" w:cs="Times New Roman"/>
        </w:rPr>
        <w:br/>
      </w:r>
      <w:r w:rsidRPr="000E1F4C">
        <w:rPr>
          <w:rFonts w:ascii="Times New Roman" w:hAnsi="Times New Roman" w:cs="Times New Roman"/>
        </w:rPr>
        <w:br/>
        <w:t>            (b)    Compounding, dispensing, or distributing prescription drugs or devices;</w:t>
      </w:r>
      <w:r w:rsidRPr="000E1F4C">
        <w:rPr>
          <w:rFonts w:ascii="Times New Roman" w:hAnsi="Times New Roman" w:cs="Times New Roman"/>
        </w:rPr>
        <w:br/>
      </w:r>
      <w:r w:rsidRPr="000E1F4C">
        <w:rPr>
          <w:rFonts w:ascii="Times New Roman" w:hAnsi="Times New Roman" w:cs="Times New Roman"/>
        </w:rPr>
        <w:br/>
        <w:t>            (c)    Compounding or dispensing nonprescription drugs or devices;</w:t>
      </w:r>
      <w:r w:rsidRPr="000E1F4C">
        <w:rPr>
          <w:rFonts w:ascii="Times New Roman" w:hAnsi="Times New Roman" w:cs="Times New Roman"/>
        </w:rPr>
        <w:br/>
      </w:r>
      <w:r w:rsidRPr="000E1F4C">
        <w:rPr>
          <w:rFonts w:ascii="Times New Roman" w:hAnsi="Times New Roman" w:cs="Times New Roman"/>
        </w:rPr>
        <w:br/>
        <w:t>            (d)    Monitoring prescriptions for prescription and nonprescription drugs or devices;</w:t>
      </w:r>
      <w:r w:rsidRPr="000E1F4C">
        <w:rPr>
          <w:rFonts w:ascii="Times New Roman" w:hAnsi="Times New Roman" w:cs="Times New Roman"/>
        </w:rPr>
        <w:br/>
      </w:r>
      <w:r w:rsidRPr="000E1F4C">
        <w:rPr>
          <w:rFonts w:ascii="Times New Roman" w:hAnsi="Times New Roman" w:cs="Times New Roman"/>
        </w:rPr>
        <w:br/>
      </w:r>
      <w:r w:rsidRPr="000E1F4C">
        <w:rPr>
          <w:rFonts w:ascii="Times New Roman" w:hAnsi="Times New Roman" w:cs="Times New Roman"/>
        </w:rPr>
        <w:lastRenderedPageBreak/>
        <w:t>            (e)    Providing information, explanation, or recommendations to patients and health care practitioners about the safe and effective use of prescription or nonprescription drugs or devices;</w:t>
      </w:r>
      <w:r w:rsidRPr="000E1F4C">
        <w:rPr>
          <w:rFonts w:ascii="Times New Roman" w:hAnsi="Times New Roman" w:cs="Times New Roman"/>
        </w:rPr>
        <w:br/>
      </w:r>
      <w:r w:rsidRPr="000E1F4C">
        <w:rPr>
          <w:rFonts w:ascii="Times New Roman" w:hAnsi="Times New Roman" w:cs="Times New Roman"/>
        </w:rPr>
        <w:br/>
        <w:t>            (f)    Identifying and appraising problems concerning the use or monitoring of therapy with drugs or devices;</w:t>
      </w:r>
      <w:r w:rsidRPr="000E1F4C">
        <w:rPr>
          <w:rFonts w:ascii="Times New Roman" w:hAnsi="Times New Roman" w:cs="Times New Roman"/>
        </w:rPr>
        <w:br/>
      </w:r>
      <w:r w:rsidRPr="000E1F4C">
        <w:rPr>
          <w:rFonts w:ascii="Times New Roman" w:hAnsi="Times New Roman" w:cs="Times New Roman"/>
        </w:rPr>
        <w:br/>
        <w:t>            (g)    Acting within the parameters of a therapy management contract, as provided under Subtitle 6A of the Health-Occupations Article;</w:t>
      </w:r>
      <w:r w:rsidRPr="000E1F4C">
        <w:rPr>
          <w:rFonts w:ascii="Times New Roman" w:hAnsi="Times New Roman" w:cs="Times New Roman"/>
        </w:rPr>
        <w:br/>
      </w:r>
      <w:r w:rsidRPr="000E1F4C">
        <w:rPr>
          <w:rFonts w:ascii="Times New Roman" w:hAnsi="Times New Roman" w:cs="Times New Roman"/>
        </w:rPr>
        <w:br/>
        <w:t>            (h)    Administering vaccinations in accordance with § 12–508 of the Health-Occupations Article or self–administered drugs in accordance with § 12–509 of the Health-Occupations Article;</w:t>
      </w:r>
      <w:r w:rsidRPr="000E1F4C">
        <w:rPr>
          <w:rFonts w:ascii="Times New Roman" w:hAnsi="Times New Roman" w:cs="Times New Roman"/>
        </w:rPr>
        <w:br/>
      </w:r>
      <w:r w:rsidRPr="000E1F4C">
        <w:rPr>
          <w:rFonts w:ascii="Times New Roman" w:hAnsi="Times New Roman" w:cs="Times New Roman"/>
        </w:rPr>
        <w:br/>
        <w:t>            (i)    Delegating a pharmacy act to a registered pharmacy technician, pharmacy student, or an individual engaged in a Board approved pharmacy technician training program;</w:t>
      </w:r>
      <w:r w:rsidRPr="000E1F4C">
        <w:rPr>
          <w:rFonts w:ascii="Times New Roman" w:hAnsi="Times New Roman" w:cs="Times New Roman"/>
        </w:rPr>
        <w:br/>
      </w:r>
      <w:r w:rsidRPr="000E1F4C">
        <w:rPr>
          <w:rFonts w:ascii="Times New Roman" w:hAnsi="Times New Roman" w:cs="Times New Roman"/>
        </w:rPr>
        <w:br/>
        <w:t>            (j)    Supervising a delegated pharmacy act performed by a registered pharmacy technician, pharmacy student, or an individual engaged in a Board approved pharmacy technician training program;</w:t>
      </w:r>
      <w:r w:rsidRPr="000E1F4C">
        <w:rPr>
          <w:rFonts w:ascii="Times New Roman" w:hAnsi="Times New Roman" w:cs="Times New Roman"/>
        </w:rPr>
        <w:br/>
      </w:r>
      <w:r w:rsidRPr="000E1F4C">
        <w:rPr>
          <w:rFonts w:ascii="Times New Roman" w:hAnsi="Times New Roman" w:cs="Times New Roman"/>
        </w:rPr>
        <w:br/>
        <w:t>            (k)    Providing drug therapy management in accordance with § 19–713.6 of the Health – General Article; or</w:t>
      </w:r>
      <w:r w:rsidRPr="000E1F4C">
        <w:rPr>
          <w:rFonts w:ascii="Times New Roman" w:hAnsi="Times New Roman" w:cs="Times New Roman"/>
        </w:rPr>
        <w:br/>
      </w:r>
      <w:r w:rsidRPr="000E1F4C">
        <w:rPr>
          <w:rFonts w:ascii="Times New Roman" w:hAnsi="Times New Roman" w:cs="Times New Roman"/>
        </w:rPr>
        <w:br/>
        <w:t>            (l)    Prescribing and dispensing contraceptive medications and self–administered contraceptive devices approved by the U.S. Food and Drug Administration.</w:t>
      </w:r>
    </w:p>
    <w:p w14:paraId="7F9A5184" w14:textId="52D08C9C" w:rsidR="000E1F4C" w:rsidRDefault="000E1F4C" w:rsidP="000E1F4C">
      <w:pPr>
        <w:rPr>
          <w:rFonts w:ascii="Times New Roman" w:hAnsi="Times New Roman" w:cs="Times New Roman"/>
        </w:rPr>
      </w:pPr>
      <w:r w:rsidRPr="000E1F4C">
        <w:rPr>
          <w:rFonts w:ascii="Times New Roman" w:hAnsi="Times New Roman" w:cs="Times New Roman"/>
        </w:rPr>
        <w:t>“Plan documents” means all documents</w:t>
      </w:r>
      <w:r w:rsidR="00932534">
        <w:rPr>
          <w:rFonts w:ascii="Times New Roman" w:hAnsi="Times New Roman" w:cs="Times New Roman"/>
        </w:rPr>
        <w:t xml:space="preserve"> under which the plan is established or operated</w:t>
      </w:r>
      <w:r w:rsidRPr="000E1F4C">
        <w:rPr>
          <w:rFonts w:ascii="Times New Roman" w:hAnsi="Times New Roman" w:cs="Times New Roman"/>
        </w:rPr>
        <w:t xml:space="preserve"> in which a carrier describes a requirement related to an NQTL, </w:t>
      </w:r>
      <w:r w:rsidR="00932534">
        <w:rPr>
          <w:rFonts w:ascii="Times New Roman" w:hAnsi="Times New Roman" w:cs="Times New Roman"/>
        </w:rPr>
        <w:t>or the processes, strategies, evidentia</w:t>
      </w:r>
      <w:r w:rsidR="00797628">
        <w:rPr>
          <w:rFonts w:ascii="Times New Roman" w:hAnsi="Times New Roman" w:cs="Times New Roman"/>
        </w:rPr>
        <w:t>r</w:t>
      </w:r>
      <w:r w:rsidR="00932534">
        <w:rPr>
          <w:rFonts w:ascii="Times New Roman" w:hAnsi="Times New Roman" w:cs="Times New Roman"/>
        </w:rPr>
        <w:t xml:space="preserve">y standards, and other factors used to apply an NQTL, </w:t>
      </w:r>
      <w:r w:rsidRPr="000E1F4C">
        <w:rPr>
          <w:rFonts w:ascii="Times New Roman" w:hAnsi="Times New Roman" w:cs="Times New Roman"/>
        </w:rPr>
        <w:t xml:space="preserve">including a policy, certificate of coverage, medical policy, medical necessity criteria or guidelines, or provider manual.  Plan documents also include any document reflecting analyses conducted or results from such analyses related to the comparability and stringency of an NQTL for MH/SUD benefits as compared to M/S benefits.     </w:t>
      </w:r>
    </w:p>
    <w:p w14:paraId="5BEE606F" w14:textId="1A00F123" w:rsidR="000E1F4C" w:rsidRPr="000E1F4C" w:rsidRDefault="000E1F4C" w:rsidP="000E1F4C">
      <w:pPr>
        <w:rPr>
          <w:rFonts w:ascii="Times New Roman" w:hAnsi="Times New Roman" w:cs="Times New Roman"/>
        </w:rPr>
      </w:pPr>
      <w:r w:rsidRPr="000E1F4C">
        <w:rPr>
          <w:rFonts w:ascii="Times New Roman" w:hAnsi="Times New Roman" w:cs="Times New Roman"/>
        </w:rPr>
        <w:t>“Prescription Drug Formulary Design” means a continually updated list of prescription drugs approved for reimbursement, including both generic and specialty drugs</w:t>
      </w:r>
      <w:r w:rsidR="00932534">
        <w:rPr>
          <w:rFonts w:ascii="Times New Roman" w:hAnsi="Times New Roman" w:cs="Times New Roman"/>
        </w:rPr>
        <w:t>, and plan features that base reimbursement, cost-sharing, or authorization requirements on the formulary category into which a drug is placed</w:t>
      </w:r>
      <w:r w:rsidRPr="000E1F4C">
        <w:rPr>
          <w:rFonts w:ascii="Times New Roman" w:hAnsi="Times New Roman" w:cs="Times New Roman"/>
        </w:rPr>
        <w:t>.</w:t>
      </w:r>
    </w:p>
    <w:p w14:paraId="5083F823" w14:textId="35FE594C" w:rsidR="000E1F4C" w:rsidRPr="000E1F4C" w:rsidRDefault="000E1F4C" w:rsidP="000E1F4C">
      <w:pPr>
        <w:rPr>
          <w:rFonts w:ascii="Times New Roman" w:hAnsi="Times New Roman" w:cs="Times New Roman"/>
        </w:rPr>
      </w:pPr>
      <w:r w:rsidRPr="000E1F4C">
        <w:rPr>
          <w:rFonts w:ascii="Times New Roman" w:hAnsi="Times New Roman" w:cs="Times New Roman"/>
        </w:rPr>
        <w:t>“Prior authorization” means the process that a carrier or any entity delegated by the carrier to manage mental health, substance use disorder, or medical/surgical benefits on behalf of the carrier requires a member or provider to follow prior to the rendering of services to determine if coverage will be provided based on considerations such as medical necessity, level of care, appropriateness of health care services, provider type, geographic location, or diagnosis exclusions. Prior authorization includes, but is not limited to, preauthorization, precertification, prospective review, preadmission review, pretreatment review, utilization review, and any requirement that a member or provider notify the carrier or organization prior to receiving or delivering a health care service.  Prior authorization includes reauthorization of services or benefits that had received preauthorization, but for which the approval period has lapsed</w:t>
      </w:r>
      <w:r w:rsidR="00F931E7">
        <w:rPr>
          <w:rFonts w:ascii="Times New Roman" w:hAnsi="Times New Roman" w:cs="Times New Roman"/>
        </w:rPr>
        <w:t xml:space="preserve"> at the time the request is submitted</w:t>
      </w:r>
      <w:r w:rsidRPr="000E1F4C">
        <w:rPr>
          <w:rFonts w:ascii="Times New Roman" w:hAnsi="Times New Roman" w:cs="Times New Roman"/>
        </w:rPr>
        <w:t xml:space="preserve">. A request for prior authorization is one received during the reporting period, regardless of whether or when services are delivered or whether or when a claim is </w:t>
      </w:r>
      <w:r>
        <w:rPr>
          <w:rFonts w:ascii="Times New Roman" w:hAnsi="Times New Roman" w:cs="Times New Roman"/>
        </w:rPr>
        <w:t>submitted.</w:t>
      </w:r>
    </w:p>
    <w:p w14:paraId="7174DA9E" w14:textId="7BB2D8FB" w:rsidR="000E1F4C" w:rsidRDefault="000E1F4C" w:rsidP="000E1F4C">
      <w:pPr>
        <w:rPr>
          <w:rFonts w:ascii="Times New Roman" w:hAnsi="Times New Roman" w:cs="Times New Roman"/>
        </w:rPr>
      </w:pPr>
      <w:r w:rsidRPr="000E1F4C">
        <w:rPr>
          <w:rFonts w:ascii="Times New Roman" w:hAnsi="Times New Roman" w:cs="Times New Roman"/>
        </w:rPr>
        <w:t xml:space="preserve">“Process for Assessment of New Technology” means a systematic, scientific process to follow for evaluating medical and surgical treatments and mental health and substance use treatment in order to </w:t>
      </w:r>
      <w:r w:rsidRPr="000E1F4C">
        <w:rPr>
          <w:rFonts w:ascii="Times New Roman" w:hAnsi="Times New Roman" w:cs="Times New Roman"/>
        </w:rPr>
        <w:lastRenderedPageBreak/>
        <w:t xml:space="preserve">ensure that members under the carrier’s health benefit plan have access to appropriate treatments not previously covered by the carrier. </w:t>
      </w:r>
    </w:p>
    <w:p w14:paraId="173B03B5" w14:textId="7CB16170" w:rsidR="00887F85" w:rsidRPr="000E1F4C" w:rsidRDefault="00887F85" w:rsidP="000E1F4C">
      <w:pPr>
        <w:rPr>
          <w:rFonts w:ascii="Times New Roman" w:hAnsi="Times New Roman" w:cs="Times New Roman"/>
        </w:rPr>
      </w:pPr>
      <w:r>
        <w:rPr>
          <w:rFonts w:ascii="Times New Roman" w:hAnsi="Times New Roman" w:cs="Times New Roman"/>
        </w:rPr>
        <w:t xml:space="preserve">“Product” means </w:t>
      </w:r>
      <w:r w:rsidRPr="00887F85">
        <w:rPr>
          <w:rFonts w:ascii="Times New Roman" w:hAnsi="Times New Roman" w:cs="Times New Roman"/>
        </w:rPr>
        <w:t xml:space="preserve">a </w:t>
      </w:r>
      <w:r>
        <w:rPr>
          <w:rFonts w:ascii="Times New Roman" w:hAnsi="Times New Roman" w:cs="Times New Roman"/>
        </w:rPr>
        <w:t xml:space="preserve">package of health insurance coverage benefits identified by a </w:t>
      </w:r>
      <w:r w:rsidRPr="00887F85">
        <w:rPr>
          <w:rFonts w:ascii="Times New Roman" w:hAnsi="Times New Roman" w:cs="Times New Roman"/>
        </w:rPr>
        <w:t>particular network type</w:t>
      </w:r>
      <w:r>
        <w:rPr>
          <w:rFonts w:ascii="Times New Roman" w:hAnsi="Times New Roman" w:cs="Times New Roman"/>
        </w:rPr>
        <w:t>, limited to</w:t>
      </w:r>
      <w:r w:rsidRPr="00887F85">
        <w:rPr>
          <w:rFonts w:ascii="Times New Roman" w:hAnsi="Times New Roman" w:cs="Times New Roman"/>
        </w:rPr>
        <w:t xml:space="preserve"> health maintenance organization, preferred provider organization, exclusive provider organization, point of service, or indemnity</w:t>
      </w:r>
      <w:r>
        <w:rPr>
          <w:rFonts w:ascii="Times New Roman" w:hAnsi="Times New Roman" w:cs="Times New Roman"/>
        </w:rPr>
        <w:t>.</w:t>
      </w:r>
    </w:p>
    <w:p w14:paraId="0E2AC20D" w14:textId="0EBE9A1C" w:rsidR="000E1F4C" w:rsidRDefault="000E1F4C" w:rsidP="000E1F4C">
      <w:pPr>
        <w:rPr>
          <w:rFonts w:ascii="Times New Roman" w:hAnsi="Times New Roman" w:cs="Times New Roman"/>
          <w:bCs/>
        </w:rPr>
      </w:pPr>
      <w:r w:rsidRPr="000E1F4C">
        <w:rPr>
          <w:rFonts w:ascii="Times New Roman" w:hAnsi="Times New Roman" w:cs="Times New Roman"/>
          <w:bCs/>
        </w:rPr>
        <w:t>“Provider Credentialing and Contracting” means a carrier’s processes and procedures and standards for determining which health care providers to contract with, either directly or through a subcontracting entity, to provide health care services to the carrier’s enrollees under the carrier’s health benefit plan.</w:t>
      </w:r>
    </w:p>
    <w:p w14:paraId="583FA612" w14:textId="3BB42576" w:rsidR="0028691C" w:rsidRPr="0028691C" w:rsidRDefault="0028691C" w:rsidP="0028691C">
      <w:pPr>
        <w:rPr>
          <w:rFonts w:ascii="Times New Roman" w:hAnsi="Times New Roman" w:cs="Times New Roman"/>
          <w:bCs/>
        </w:rPr>
      </w:pPr>
      <w:r w:rsidRPr="0028691C">
        <w:rPr>
          <w:rFonts w:ascii="Times New Roman" w:hAnsi="Times New Roman" w:cs="Times New Roman"/>
          <w:bCs/>
        </w:rPr>
        <w:t>“Reimbursement” means compensation or the amount allowed to a health care provider, member, or other person entitled to reimbursement by a carrier, or the combined amount of the carrier’s payment and member’s cost-sharing responsibility, for providing health care services, medications, or supplies to enrollees of the health benefit plan. Reimbursement includes, but is not limited to, fee for service payments, capitation payments, bundled or global payments, and bonuses or other incentive payments.</w:t>
      </w:r>
    </w:p>
    <w:p w14:paraId="2401CF7A" w14:textId="2015EA62" w:rsidR="00EF718B" w:rsidRPr="00EF718B" w:rsidRDefault="005753F5" w:rsidP="00EF718B">
      <w:pPr>
        <w:rPr>
          <w:rFonts w:ascii="Times New Roman" w:hAnsi="Times New Roman" w:cs="Times New Roman"/>
          <w:bCs/>
        </w:rPr>
      </w:pPr>
      <w:r w:rsidRPr="000E1F4C" w:rsidDel="005753F5">
        <w:rPr>
          <w:rFonts w:ascii="Times New Roman" w:hAnsi="Times New Roman" w:cs="Times New Roman"/>
          <w:bCs/>
        </w:rPr>
        <w:t xml:space="preserve"> </w:t>
      </w:r>
      <w:r w:rsidR="00EF718B" w:rsidRPr="00EF718B">
        <w:rPr>
          <w:rFonts w:ascii="Times New Roman" w:hAnsi="Times New Roman" w:cs="Times New Roman"/>
          <w:bCs/>
        </w:rPr>
        <w:t>“Restrictions for Provider Specialty” means, for services that are within the scope of practice for a health care provider, restrictions based on the licensure or certification of a health care provider that limit the scope or duration of benefits for services provided under the plan or coverage.</w:t>
      </w:r>
    </w:p>
    <w:p w14:paraId="3701C572" w14:textId="27972EB2" w:rsidR="000E1F4C" w:rsidRDefault="000E1F4C" w:rsidP="000E1F4C">
      <w:pPr>
        <w:rPr>
          <w:rFonts w:ascii="Times New Roman" w:hAnsi="Times New Roman" w:cs="Times New Roman"/>
          <w:bCs/>
        </w:rPr>
      </w:pPr>
      <w:r w:rsidRPr="000E1F4C">
        <w:rPr>
          <w:rFonts w:ascii="Times New Roman" w:hAnsi="Times New Roman" w:cs="Times New Roman"/>
          <w:bCs/>
        </w:rPr>
        <w:t>“Restrictions that Limit Duration or Scope of Benefits for Services” means non-numerical limits or restrictions based on geographic location, facility type, provider specialty, and other criteria, including exclusions of a specific or type of MH/SUD treatment, that limit the scope or duration of benefits for services provided under the plan or coverage.</w:t>
      </w:r>
    </w:p>
    <w:p w14:paraId="6DE72559" w14:textId="6DBDF236" w:rsidR="000E1F4C" w:rsidRPr="000E1F4C" w:rsidRDefault="000E1F4C" w:rsidP="000E1F4C">
      <w:pPr>
        <w:rPr>
          <w:rFonts w:ascii="Times New Roman" w:hAnsi="Times New Roman" w:cs="Times New Roman"/>
          <w:bCs/>
        </w:rPr>
      </w:pPr>
      <w:r w:rsidRPr="000E1F4C">
        <w:rPr>
          <w:rFonts w:ascii="Times New Roman" w:hAnsi="Times New Roman" w:cs="Times New Roman"/>
          <w:bCs/>
        </w:rPr>
        <w:t>“Retrospective Review” means utilization review of health care that has been provided to an enrollee.</w:t>
      </w:r>
    </w:p>
    <w:p w14:paraId="3A6A4E47" w14:textId="77777777" w:rsidR="000E1F4C" w:rsidRPr="000E1F4C" w:rsidRDefault="000E1F4C" w:rsidP="000E1F4C">
      <w:pPr>
        <w:rPr>
          <w:rFonts w:ascii="Times New Roman" w:hAnsi="Times New Roman" w:cs="Times New Roman"/>
          <w:bCs/>
        </w:rPr>
      </w:pPr>
    </w:p>
    <w:p w14:paraId="2665B5C6" w14:textId="77777777" w:rsidR="000E1F4C" w:rsidRPr="000E1F4C" w:rsidRDefault="000E1F4C" w:rsidP="000E1F4C">
      <w:pPr>
        <w:rPr>
          <w:rFonts w:ascii="Times New Roman" w:hAnsi="Times New Roman" w:cs="Times New Roman"/>
        </w:rPr>
      </w:pPr>
    </w:p>
    <w:p w14:paraId="3DECB72D" w14:textId="77777777" w:rsidR="000E1F4C" w:rsidRPr="000E1F4C" w:rsidRDefault="000E1F4C" w:rsidP="000E1F4C">
      <w:pPr>
        <w:rPr>
          <w:rFonts w:ascii="Times New Roman" w:hAnsi="Times New Roman" w:cs="Times New Roman"/>
        </w:rPr>
      </w:pPr>
    </w:p>
    <w:p w14:paraId="5192CA83" w14:textId="77777777" w:rsidR="000E1F4C" w:rsidRPr="000E1F4C" w:rsidRDefault="000E1F4C" w:rsidP="00306FE3">
      <w:pPr>
        <w:rPr>
          <w:rFonts w:ascii="Times New Roman" w:hAnsi="Times New Roman" w:cs="Times New Roman"/>
        </w:rPr>
      </w:pPr>
    </w:p>
    <w:p w14:paraId="01E358BE" w14:textId="77777777" w:rsidR="00DA712D" w:rsidRDefault="00DA712D">
      <w:pPr>
        <w:rPr>
          <w:rFonts w:ascii="Times New Roman" w:hAnsi="Times New Roman" w:cs="Times New Roman"/>
          <w:b/>
          <w:bCs/>
        </w:rPr>
      </w:pPr>
      <w:r>
        <w:rPr>
          <w:rFonts w:ascii="Times New Roman" w:hAnsi="Times New Roman" w:cs="Times New Roman"/>
          <w:b/>
          <w:bCs/>
        </w:rPr>
        <w:br w:type="page"/>
      </w:r>
    </w:p>
    <w:p w14:paraId="5231BED6" w14:textId="35A3AB7C" w:rsidR="00306FE3" w:rsidRPr="00DA0573" w:rsidRDefault="00306FE3" w:rsidP="00306FE3">
      <w:pPr>
        <w:rPr>
          <w:rFonts w:ascii="Times New Roman" w:hAnsi="Times New Roman" w:cs="Times New Roman"/>
        </w:rPr>
      </w:pPr>
      <w:r w:rsidRPr="00DA0573">
        <w:rPr>
          <w:rFonts w:ascii="Times New Roman" w:hAnsi="Times New Roman" w:cs="Times New Roman"/>
          <w:b/>
          <w:bCs/>
        </w:rPr>
        <w:lastRenderedPageBreak/>
        <w:t xml:space="preserve">NQTL </w:t>
      </w:r>
      <w:r w:rsidR="00DA712D">
        <w:rPr>
          <w:rFonts w:ascii="Times New Roman" w:hAnsi="Times New Roman" w:cs="Times New Roman"/>
          <w:b/>
          <w:bCs/>
        </w:rPr>
        <w:t xml:space="preserve">Analysis Report </w:t>
      </w:r>
      <w:r w:rsidRPr="00DA0573">
        <w:rPr>
          <w:rFonts w:ascii="Times New Roman" w:hAnsi="Times New Roman" w:cs="Times New Roman"/>
          <w:b/>
          <w:bCs/>
        </w:rPr>
        <w:t>Template Completion Instructions</w:t>
      </w:r>
    </w:p>
    <w:p w14:paraId="6217FDC1" w14:textId="393029AB" w:rsidR="00582443" w:rsidRPr="00DA0573" w:rsidRDefault="00306FE3" w:rsidP="00306FE3">
      <w:pPr>
        <w:rPr>
          <w:rFonts w:ascii="Times New Roman" w:hAnsi="Times New Roman" w:cs="Times New Roman"/>
          <w:bCs/>
        </w:rPr>
      </w:pPr>
      <w:r w:rsidRPr="00DA0573">
        <w:rPr>
          <w:rFonts w:ascii="Times New Roman" w:hAnsi="Times New Roman" w:cs="Times New Roman"/>
          <w:bCs/>
          <w:u w:val="single"/>
        </w:rPr>
        <w:t>Plan Info</w:t>
      </w:r>
      <w:r w:rsidR="00582443" w:rsidRPr="00DA0573">
        <w:rPr>
          <w:rFonts w:ascii="Times New Roman" w:hAnsi="Times New Roman" w:cs="Times New Roman"/>
          <w:bCs/>
          <w:u w:val="single"/>
        </w:rPr>
        <w:t>rmation</w:t>
      </w:r>
      <w:r w:rsidRPr="00DA0573">
        <w:rPr>
          <w:rFonts w:ascii="Times New Roman" w:hAnsi="Times New Roman" w:cs="Times New Roman"/>
          <w:bCs/>
        </w:rPr>
        <w:t xml:space="preserve">  </w:t>
      </w:r>
    </w:p>
    <w:p w14:paraId="5973001E" w14:textId="4D2E8621" w:rsidR="00306FE3" w:rsidRDefault="00306FE3" w:rsidP="00306FE3">
      <w:pPr>
        <w:rPr>
          <w:rFonts w:ascii="Times New Roman" w:hAnsi="Times New Roman" w:cs="Times New Roman"/>
        </w:rPr>
      </w:pPr>
      <w:r w:rsidRPr="00DA0573">
        <w:rPr>
          <w:rFonts w:ascii="Times New Roman" w:hAnsi="Times New Roman" w:cs="Times New Roman"/>
        </w:rPr>
        <w:t>Identify the five health benefit plans with the highest enrollment for each product offered by the carrier in the individual, small, and large group markets.</w:t>
      </w:r>
      <w:r w:rsidR="00B24537" w:rsidRPr="00DA0573">
        <w:rPr>
          <w:rFonts w:ascii="Times New Roman" w:hAnsi="Times New Roman" w:cs="Times New Roman"/>
        </w:rPr>
        <w:t xml:space="preserve">  Provide the form numbers, approval dates, and SERFF tracking numbers for all forms comprising the entire contract of insurance for the health benefit plan.</w:t>
      </w:r>
      <w:r w:rsidR="007B5249">
        <w:rPr>
          <w:rFonts w:ascii="Times New Roman" w:hAnsi="Times New Roman" w:cs="Times New Roman"/>
        </w:rPr>
        <w:t xml:space="preserve">  A separate analysis report shall be submitted for each plan.</w:t>
      </w:r>
    </w:p>
    <w:p w14:paraId="79123DCF" w14:textId="5FF973E0" w:rsidR="006C375F" w:rsidRPr="006C375F" w:rsidRDefault="006C375F" w:rsidP="00CA5A21">
      <w:pPr>
        <w:rPr>
          <w:rFonts w:ascii="Times New Roman" w:hAnsi="Times New Roman" w:cs="Times New Roman"/>
          <w:u w:val="single"/>
        </w:rPr>
      </w:pPr>
      <w:r w:rsidRPr="006C375F">
        <w:rPr>
          <w:rFonts w:ascii="Times New Roman" w:hAnsi="Times New Roman" w:cs="Times New Roman"/>
          <w:u w:val="single"/>
        </w:rPr>
        <w:t>Benefit Classifications</w:t>
      </w:r>
    </w:p>
    <w:p w14:paraId="0DE5C638" w14:textId="2D567974" w:rsidR="00CA5A21" w:rsidRDefault="006C375F" w:rsidP="00CA5A21">
      <w:pPr>
        <w:pStyle w:val="ListParagraph"/>
        <w:numPr>
          <w:ilvl w:val="0"/>
          <w:numId w:val="46"/>
        </w:numPr>
        <w:contextualSpacing w:val="0"/>
        <w:rPr>
          <w:rFonts w:ascii="Times New Roman" w:hAnsi="Times New Roman" w:cs="Times New Roman"/>
        </w:rPr>
      </w:pPr>
      <w:r w:rsidRPr="00CA5A21">
        <w:rPr>
          <w:rFonts w:ascii="Times New Roman" w:hAnsi="Times New Roman" w:cs="Times New Roman"/>
        </w:rPr>
        <w:t xml:space="preserve">List each covered service under the plan in the table below.  Indicate whether the covered service is treated as M/S or MH/SUD, and identify which </w:t>
      </w:r>
      <w:r w:rsidR="00CA5A21">
        <w:rPr>
          <w:rFonts w:ascii="Times New Roman" w:hAnsi="Times New Roman" w:cs="Times New Roman"/>
        </w:rPr>
        <w:t xml:space="preserve">of the following </w:t>
      </w:r>
      <w:r w:rsidRPr="00CA5A21">
        <w:rPr>
          <w:rFonts w:ascii="Times New Roman" w:hAnsi="Times New Roman" w:cs="Times New Roman"/>
        </w:rPr>
        <w:t>classification</w:t>
      </w:r>
      <w:r w:rsidR="00CA5A21">
        <w:rPr>
          <w:rFonts w:ascii="Times New Roman" w:hAnsi="Times New Roman" w:cs="Times New Roman"/>
        </w:rPr>
        <w:t>s</w:t>
      </w:r>
      <w:r w:rsidRPr="00CA5A21">
        <w:rPr>
          <w:rFonts w:ascii="Times New Roman" w:hAnsi="Times New Roman" w:cs="Times New Roman"/>
        </w:rPr>
        <w:t xml:space="preserve"> or sub-classification</w:t>
      </w:r>
      <w:r w:rsidR="00CA5A21">
        <w:rPr>
          <w:rFonts w:ascii="Times New Roman" w:hAnsi="Times New Roman" w:cs="Times New Roman"/>
        </w:rPr>
        <w:t>s</w:t>
      </w:r>
      <w:r w:rsidRPr="00CA5A21">
        <w:rPr>
          <w:rFonts w:ascii="Times New Roman" w:hAnsi="Times New Roman" w:cs="Times New Roman"/>
        </w:rPr>
        <w:t xml:space="preserve"> the covered service has been assigned to: In Network Inpatient; Out of Network Inpatient; In Network Outpatient</w:t>
      </w:r>
      <w:r w:rsidR="000918EE">
        <w:rPr>
          <w:rFonts w:ascii="Times New Roman" w:hAnsi="Times New Roman" w:cs="Times New Roman"/>
        </w:rPr>
        <w:t xml:space="preserve"> </w:t>
      </w:r>
      <w:r w:rsidR="000918EE" w:rsidRPr="00CA5A21">
        <w:rPr>
          <w:rFonts w:ascii="Times New Roman" w:hAnsi="Times New Roman" w:cs="Times New Roman"/>
        </w:rPr>
        <w:t xml:space="preserve">(OR: In Network Outpatient-Office; </w:t>
      </w:r>
      <w:r w:rsidR="000918EE">
        <w:rPr>
          <w:rFonts w:ascii="Times New Roman" w:hAnsi="Times New Roman" w:cs="Times New Roman"/>
        </w:rPr>
        <w:t>In Network Outpatient-All Other</w:t>
      </w:r>
      <w:r w:rsidR="000918EE" w:rsidRPr="00CA5A21">
        <w:rPr>
          <w:rFonts w:ascii="Times New Roman" w:hAnsi="Times New Roman" w:cs="Times New Roman"/>
        </w:rPr>
        <w:t>)</w:t>
      </w:r>
      <w:r w:rsidRPr="00CA5A21">
        <w:rPr>
          <w:rFonts w:ascii="Times New Roman" w:hAnsi="Times New Roman" w:cs="Times New Roman"/>
        </w:rPr>
        <w:t>; Out of Network Outpatient (OR: Out of Network Outpatient-Office; Out of Network Outpatient-All Other); Emergency; or Prescription.</w:t>
      </w:r>
    </w:p>
    <w:p w14:paraId="4AA7F4CF" w14:textId="69A0667E" w:rsidR="009F44BB" w:rsidRDefault="009F44BB" w:rsidP="00CA5A21">
      <w:pPr>
        <w:pStyle w:val="ListParagraph"/>
        <w:contextualSpacing w:val="0"/>
        <w:rPr>
          <w:rFonts w:ascii="Times New Roman" w:hAnsi="Times New Roman" w:cs="Times New Roman"/>
        </w:rPr>
      </w:pPr>
      <w:r>
        <w:rPr>
          <w:rFonts w:ascii="Times New Roman" w:hAnsi="Times New Roman" w:cs="Times New Roman"/>
        </w:rPr>
        <w:t xml:space="preserve">Do not list non-medical dental or vision benefits in the list of covered services, and do not include these benefits in the NQTL analyses.  </w:t>
      </w:r>
      <w:r w:rsidR="006154D3">
        <w:rPr>
          <w:rFonts w:ascii="Times New Roman" w:hAnsi="Times New Roman" w:cs="Times New Roman"/>
        </w:rPr>
        <w:t xml:space="preserve">Dental care that is customarily covered under medical policies, e.g. injury to sound natural teeth or treatment for cleft lip/cleft palate, should be included as a medical benefit. </w:t>
      </w:r>
    </w:p>
    <w:p w14:paraId="5D15561D" w14:textId="29480301" w:rsidR="00CA5A21" w:rsidRPr="00CA5A21" w:rsidRDefault="00CA5A21" w:rsidP="00CA5A21">
      <w:pPr>
        <w:pStyle w:val="ListParagraph"/>
        <w:contextualSpacing w:val="0"/>
        <w:rPr>
          <w:rFonts w:ascii="Times New Roman" w:hAnsi="Times New Roman" w:cs="Times New Roman"/>
        </w:rPr>
      </w:pPr>
      <w:r>
        <w:rPr>
          <w:rFonts w:ascii="Times New Roman" w:hAnsi="Times New Roman" w:cs="Times New Roman"/>
        </w:rPr>
        <w:t>For the purposes of the NQTL analyses for each plan, a carrier may elect to use the outpatient benefit classifications, or divide benefits furnished on an outpatient basis into the two sub-classifications described in 45 CFR § 146.136(c)(3)(iii)(C) for “office visits”</w:t>
      </w:r>
      <w:r w:rsidRPr="00CA5A21">
        <w:rPr>
          <w:rFonts w:ascii="Times New Roman" w:hAnsi="Times New Roman" w:cs="Times New Roman"/>
        </w:rPr>
        <w:t xml:space="preserve"> </w:t>
      </w:r>
      <w:r>
        <w:rPr>
          <w:rFonts w:ascii="Times New Roman" w:hAnsi="Times New Roman" w:cs="Times New Roman"/>
        </w:rPr>
        <w:t>and “all other outpatient items and services</w:t>
      </w:r>
      <w:r w:rsidR="000918EE">
        <w:rPr>
          <w:rFonts w:ascii="Times New Roman" w:hAnsi="Times New Roman" w:cs="Times New Roman"/>
        </w:rPr>
        <w:t>.”  The election to use either the outpatient classification</w:t>
      </w:r>
      <w:r w:rsidR="00F44483">
        <w:rPr>
          <w:rFonts w:ascii="Times New Roman" w:hAnsi="Times New Roman" w:cs="Times New Roman"/>
        </w:rPr>
        <w:t>s</w:t>
      </w:r>
      <w:r w:rsidR="000918EE">
        <w:rPr>
          <w:rFonts w:ascii="Times New Roman" w:hAnsi="Times New Roman" w:cs="Times New Roman"/>
        </w:rPr>
        <w:t xml:space="preserve"> or the outpatient sub-classifications shall be made at the plan level, and may not vary for different NQTLs under the same plan.</w:t>
      </w:r>
    </w:p>
    <w:p w14:paraId="2AA822C4" w14:textId="58110358" w:rsidR="00CA5A21" w:rsidRPr="00CA5A21" w:rsidRDefault="00CA5A21" w:rsidP="00F44483">
      <w:pPr>
        <w:pStyle w:val="ListParagraph"/>
        <w:numPr>
          <w:ilvl w:val="0"/>
          <w:numId w:val="46"/>
        </w:numPr>
        <w:rPr>
          <w:rFonts w:ascii="Times New Roman" w:hAnsi="Times New Roman" w:cs="Times New Roman"/>
        </w:rPr>
      </w:pPr>
      <w:r w:rsidRPr="00CA5A21">
        <w:rPr>
          <w:rFonts w:ascii="Times New Roman" w:hAnsi="Times New Roman" w:cs="Times New Roman"/>
        </w:rPr>
        <w:t>Explain the methodology used to assign M/S and MH/SUD benefits to each classification and</w:t>
      </w:r>
      <w:r w:rsidR="00F44483">
        <w:rPr>
          <w:rFonts w:ascii="Times New Roman" w:hAnsi="Times New Roman" w:cs="Times New Roman"/>
        </w:rPr>
        <w:t>/or</w:t>
      </w:r>
      <w:r w:rsidRPr="00CA5A21">
        <w:rPr>
          <w:rFonts w:ascii="Times New Roman" w:hAnsi="Times New Roman" w:cs="Times New Roman"/>
        </w:rPr>
        <w:t xml:space="preserve"> sub</w:t>
      </w:r>
      <w:r>
        <w:rPr>
          <w:rFonts w:ascii="Times New Roman" w:hAnsi="Times New Roman" w:cs="Times New Roman"/>
        </w:rPr>
        <w:t>-</w:t>
      </w:r>
      <w:r w:rsidRPr="00CA5A21">
        <w:rPr>
          <w:rFonts w:ascii="Times New Roman" w:hAnsi="Times New Roman" w:cs="Times New Roman"/>
        </w:rPr>
        <w:t xml:space="preserve">classification.  </w:t>
      </w:r>
      <w:r w:rsidR="00F44483" w:rsidRPr="00F44483">
        <w:rPr>
          <w:rFonts w:ascii="Times New Roman" w:hAnsi="Times New Roman" w:cs="Times New Roman"/>
        </w:rPr>
        <w:t>Note:  Classification of covered services must remain consistent across NQTL analyses</w:t>
      </w:r>
      <w:r w:rsidR="00F44483">
        <w:rPr>
          <w:rFonts w:ascii="Times New Roman" w:hAnsi="Times New Roman" w:cs="Times New Roman"/>
        </w:rPr>
        <w:t xml:space="preserve"> within the same plan</w:t>
      </w:r>
      <w:r w:rsidR="00F44483" w:rsidRPr="00F44483">
        <w:rPr>
          <w:rFonts w:ascii="Times New Roman" w:hAnsi="Times New Roman" w:cs="Times New Roman"/>
        </w:rPr>
        <w:t>.</w:t>
      </w:r>
      <w:r w:rsidR="00F44483">
        <w:rPr>
          <w:rFonts w:ascii="Times New Roman" w:hAnsi="Times New Roman" w:cs="Times New Roman"/>
        </w:rPr>
        <w:t xml:space="preserve">  </w:t>
      </w:r>
      <w:r w:rsidRPr="00CA5A21">
        <w:rPr>
          <w:rFonts w:ascii="Times New Roman" w:hAnsi="Times New Roman" w:cs="Times New Roman"/>
        </w:rPr>
        <w:t>In determining the classification in which a particular benefit belongs, the same standards must be applied to M/S benefits and to MH/SUD benefits.  Intermediate MH/SUD benefits (such as residential treatment, partial hospitalization, and intensive outpatient treatment) must be assigned to the existing six classifications in the same way that intermediate medical/surgical benefits are assigned to these classifications. For example, if a plan classifies care in skilled nursing facilities and rehabilitation hospitals for medical/surgical benefits as inpatient benefits, it must classify covered care in residential treatment facilities for MH/SUD benefits as inpatient benefits. If a plan treats home health care as an outpatient benefit, then any covered intensive outpatient MH/SUD services and partial hospitalization must be considered outpatient benefits as well</w:t>
      </w:r>
    </w:p>
    <w:p w14:paraId="3CF0FA62" w14:textId="07BB6269" w:rsidR="00582443" w:rsidRDefault="00D7773C" w:rsidP="00DA0573">
      <w:pPr>
        <w:spacing w:after="0" w:line="240" w:lineRule="auto"/>
        <w:rPr>
          <w:rFonts w:ascii="Times New Roman" w:hAnsi="Times New Roman" w:cs="Times New Roman"/>
          <w:bCs/>
          <w:u w:val="single"/>
        </w:rPr>
      </w:pPr>
      <w:r w:rsidRPr="008A647B">
        <w:rPr>
          <w:rFonts w:ascii="Times New Roman" w:hAnsi="Times New Roman" w:cs="Times New Roman"/>
          <w:bCs/>
          <w:u w:val="single"/>
        </w:rPr>
        <w:t>Step 1:</w:t>
      </w:r>
    </w:p>
    <w:p w14:paraId="130661EC" w14:textId="77777777" w:rsidR="001E12D9" w:rsidRPr="00DA0573" w:rsidRDefault="001E12D9" w:rsidP="00DA0573">
      <w:pPr>
        <w:spacing w:after="0" w:line="240" w:lineRule="auto"/>
        <w:rPr>
          <w:rFonts w:ascii="Times New Roman" w:hAnsi="Times New Roman" w:cs="Times New Roman"/>
          <w:bCs/>
          <w:u w:val="single"/>
        </w:rPr>
      </w:pPr>
    </w:p>
    <w:p w14:paraId="4FF09BD3" w14:textId="384D82E4" w:rsidR="008A647B" w:rsidRDefault="00582443" w:rsidP="004E5A11">
      <w:pPr>
        <w:pStyle w:val="ListParagraph"/>
        <w:numPr>
          <w:ilvl w:val="0"/>
          <w:numId w:val="39"/>
        </w:numPr>
        <w:spacing w:line="240" w:lineRule="auto"/>
        <w:rPr>
          <w:rFonts w:ascii="Times New Roman" w:hAnsi="Times New Roman" w:cs="Times New Roman"/>
        </w:rPr>
      </w:pPr>
      <w:r w:rsidRPr="00DA0573">
        <w:rPr>
          <w:rFonts w:ascii="Times New Roman" w:hAnsi="Times New Roman" w:cs="Times New Roman"/>
        </w:rPr>
        <w:t>Provide a description of the plan’s applicable NQTLs</w:t>
      </w:r>
      <w:r w:rsidR="004E5A11" w:rsidRPr="004E5A11">
        <w:t xml:space="preserve"> </w:t>
      </w:r>
      <w:r w:rsidR="00220F9E">
        <w:rPr>
          <w:rFonts w:ascii="Times New Roman" w:hAnsi="Times New Roman" w:cs="Times New Roman"/>
        </w:rPr>
        <w:t>as applied to</w:t>
      </w:r>
      <w:r w:rsidR="004E5A11" w:rsidRPr="004E5A11">
        <w:rPr>
          <w:rFonts w:ascii="Times New Roman" w:hAnsi="Times New Roman" w:cs="Times New Roman"/>
        </w:rPr>
        <w:t xml:space="preserve"> M/S or MH/SUD benefits in the table below</w:t>
      </w:r>
      <w:r w:rsidRPr="00DA0573">
        <w:rPr>
          <w:rFonts w:ascii="Times New Roman" w:hAnsi="Times New Roman" w:cs="Times New Roman"/>
        </w:rPr>
        <w:t>.</w:t>
      </w:r>
    </w:p>
    <w:p w14:paraId="48C0CB33" w14:textId="684A33A1" w:rsidR="00AF0297" w:rsidRDefault="00AF0297" w:rsidP="00AF0297">
      <w:pPr>
        <w:pStyle w:val="ListParagraph"/>
        <w:spacing w:line="240" w:lineRule="auto"/>
        <w:rPr>
          <w:rFonts w:ascii="Times New Roman" w:hAnsi="Times New Roman" w:cs="Times New Roman"/>
        </w:rPr>
      </w:pPr>
    </w:p>
    <w:p w14:paraId="01ABA05A" w14:textId="33D94D9A" w:rsidR="00AF0297" w:rsidRPr="00AF0297" w:rsidRDefault="00AF0297" w:rsidP="00AF0297">
      <w:pPr>
        <w:pStyle w:val="ListParagraph"/>
        <w:spacing w:line="240" w:lineRule="auto"/>
        <w:rPr>
          <w:rFonts w:ascii="Times New Roman" w:hAnsi="Times New Roman" w:cs="Times New Roman"/>
          <w:b/>
          <w:u w:val="single"/>
        </w:rPr>
      </w:pPr>
      <w:r w:rsidRPr="00AF0297">
        <w:rPr>
          <w:rFonts w:ascii="Times New Roman" w:hAnsi="Times New Roman" w:cs="Times New Roman"/>
          <w:b/>
          <w:u w:val="single"/>
        </w:rPr>
        <w:t xml:space="preserve">Please note that the questions listed under each category of NQTL's </w:t>
      </w:r>
      <w:r>
        <w:rPr>
          <w:rFonts w:ascii="Times New Roman" w:hAnsi="Times New Roman" w:cs="Times New Roman"/>
          <w:b/>
          <w:u w:val="single"/>
        </w:rPr>
        <w:t xml:space="preserve">on the analysis report template </w:t>
      </w:r>
      <w:r w:rsidRPr="00AF0297">
        <w:rPr>
          <w:rFonts w:ascii="Times New Roman" w:hAnsi="Times New Roman" w:cs="Times New Roman"/>
          <w:b/>
          <w:u w:val="single"/>
        </w:rPr>
        <w:t>are not exclusive or intended to limit the scope of applicable NQTL</w:t>
      </w:r>
      <w:r>
        <w:rPr>
          <w:rFonts w:ascii="Times New Roman" w:hAnsi="Times New Roman" w:cs="Times New Roman"/>
          <w:b/>
          <w:u w:val="single"/>
        </w:rPr>
        <w:t>'s that must be included in the</w:t>
      </w:r>
      <w:r w:rsidRPr="00AF0297">
        <w:rPr>
          <w:rFonts w:ascii="Times New Roman" w:hAnsi="Times New Roman" w:cs="Times New Roman"/>
          <w:b/>
          <w:u w:val="single"/>
        </w:rPr>
        <w:t xml:space="preserve"> report.  </w:t>
      </w:r>
    </w:p>
    <w:p w14:paraId="4106A649" w14:textId="5F93C7FB" w:rsidR="004E5A11" w:rsidRDefault="004E5A11" w:rsidP="008A647B">
      <w:pPr>
        <w:ind w:left="720"/>
        <w:rPr>
          <w:rFonts w:ascii="Times New Roman" w:hAnsi="Times New Roman" w:cs="Times New Roman"/>
        </w:rPr>
      </w:pPr>
      <w:r w:rsidRPr="004E5A11">
        <w:rPr>
          <w:rFonts w:ascii="Times New Roman" w:hAnsi="Times New Roman" w:cs="Times New Roman"/>
        </w:rPr>
        <w:lastRenderedPageBreak/>
        <w:t>Describe the specific NQTL plan language and procedures, as applied to M/S benefits and as applied to MH/SUD benefits, including identification of associated triggers, timelines, forms, and requirements.</w:t>
      </w:r>
    </w:p>
    <w:p w14:paraId="73958B91" w14:textId="24258796" w:rsidR="008A647B" w:rsidRPr="00E34051" w:rsidRDefault="008A647B" w:rsidP="008A647B">
      <w:pPr>
        <w:ind w:left="720"/>
        <w:rPr>
          <w:rFonts w:ascii="Times New Roman" w:hAnsi="Times New Roman" w:cs="Times New Roman"/>
        </w:rPr>
      </w:pPr>
      <w:r w:rsidRPr="00E34051">
        <w:rPr>
          <w:rFonts w:ascii="Times New Roman" w:hAnsi="Times New Roman" w:cs="Times New Roman"/>
        </w:rPr>
        <w:t xml:space="preserve">Provide cross references to plan documents that contain language related to application of the NQTLs (i.e., all </w:t>
      </w:r>
      <w:r w:rsidR="004E5A11">
        <w:rPr>
          <w:rFonts w:ascii="Times New Roman" w:hAnsi="Times New Roman" w:cs="Times New Roman"/>
        </w:rPr>
        <w:t>member</w:t>
      </w:r>
      <w:r w:rsidR="004E5A11" w:rsidRPr="00E34051">
        <w:rPr>
          <w:rFonts w:ascii="Times New Roman" w:hAnsi="Times New Roman" w:cs="Times New Roman"/>
        </w:rPr>
        <w:t xml:space="preserve"> </w:t>
      </w:r>
      <w:r w:rsidRPr="00E34051">
        <w:rPr>
          <w:rFonts w:ascii="Times New Roman" w:hAnsi="Times New Roman" w:cs="Times New Roman"/>
        </w:rPr>
        <w:t>documents, posted medical policies,</w:t>
      </w:r>
      <w:r w:rsidR="00FB582E">
        <w:rPr>
          <w:rFonts w:ascii="Times New Roman" w:hAnsi="Times New Roman" w:cs="Times New Roman"/>
        </w:rPr>
        <w:t xml:space="preserve"> internal documents</w:t>
      </w:r>
      <w:r w:rsidRPr="00E34051">
        <w:rPr>
          <w:rFonts w:ascii="Times New Roman" w:hAnsi="Times New Roman" w:cs="Times New Roman"/>
        </w:rPr>
        <w:t xml:space="preserve"> and applicable provider manual references which are pertinent to providing notice of and information regarding the NQTL requirements).</w:t>
      </w:r>
      <w:r w:rsidR="004E5A11">
        <w:rPr>
          <w:rFonts w:ascii="Times New Roman" w:hAnsi="Times New Roman" w:cs="Times New Roman"/>
        </w:rPr>
        <w:t xml:space="preserve">  Note</w:t>
      </w:r>
      <w:r w:rsidR="004E5A11" w:rsidRPr="004E5A11">
        <w:rPr>
          <w:rFonts w:ascii="Times New Roman" w:hAnsi="Times New Roman" w:cs="Times New Roman"/>
        </w:rPr>
        <w:t xml:space="preserve"> that for the purposes of Step 1(a), the term “plan documents” refers only to the documents describing the NQTL itself, and does not include documents reflecting analyses conducted or results from such analyses related to the comparability and stringency of an NQTL for MH/SUD benefits as compared to M/S benefits.</w:t>
      </w:r>
    </w:p>
    <w:p w14:paraId="4B181D41" w14:textId="2C6DF40D" w:rsidR="008A647B" w:rsidRPr="00E34051" w:rsidRDefault="008A647B" w:rsidP="008A647B">
      <w:pPr>
        <w:ind w:left="720"/>
        <w:rPr>
          <w:rFonts w:ascii="Times New Roman" w:hAnsi="Times New Roman" w:cs="Times New Roman"/>
        </w:rPr>
      </w:pPr>
      <w:r w:rsidRPr="00E34051">
        <w:rPr>
          <w:rFonts w:ascii="Times New Roman" w:hAnsi="Times New Roman" w:cs="Times New Roman"/>
        </w:rPr>
        <w:t xml:space="preserve">Copies of the applicable policy or certificate of coverage should be available, but are not required to be included with the submission. Copy the specific language from the policy or certificate into </w:t>
      </w:r>
      <w:r>
        <w:rPr>
          <w:rFonts w:ascii="Times New Roman" w:hAnsi="Times New Roman" w:cs="Times New Roman"/>
        </w:rPr>
        <w:t xml:space="preserve">the report.  Provide </w:t>
      </w:r>
      <w:r w:rsidRPr="00E34051">
        <w:rPr>
          <w:rFonts w:ascii="Times New Roman" w:hAnsi="Times New Roman" w:cs="Times New Roman"/>
        </w:rPr>
        <w:t xml:space="preserve">the page number, section number, and form number where the </w:t>
      </w:r>
      <w:r>
        <w:rPr>
          <w:rFonts w:ascii="Times New Roman" w:hAnsi="Times New Roman" w:cs="Times New Roman"/>
        </w:rPr>
        <w:t>p</w:t>
      </w:r>
      <w:r w:rsidRPr="00E34051">
        <w:rPr>
          <w:rFonts w:ascii="Times New Roman" w:hAnsi="Times New Roman" w:cs="Times New Roman"/>
        </w:rPr>
        <w:t>rovision can be found in the policy or certificate.</w:t>
      </w:r>
    </w:p>
    <w:p w14:paraId="539D6534" w14:textId="3BC87ED9" w:rsidR="008A647B" w:rsidRDefault="008A647B" w:rsidP="00441227">
      <w:pPr>
        <w:pStyle w:val="ListParagraph"/>
        <w:numPr>
          <w:ilvl w:val="0"/>
          <w:numId w:val="39"/>
        </w:numPr>
        <w:spacing w:after="0"/>
        <w:rPr>
          <w:rFonts w:ascii="Times New Roman" w:hAnsi="Times New Roman" w:cs="Times New Roman"/>
        </w:rPr>
      </w:pPr>
      <w:r w:rsidRPr="00DA0573">
        <w:rPr>
          <w:rFonts w:ascii="Times New Roman" w:hAnsi="Times New Roman" w:cs="Times New Roman"/>
        </w:rPr>
        <w:t>For each NQTL listed in Step 1 (</w:t>
      </w:r>
      <w:r w:rsidR="004E5A11">
        <w:rPr>
          <w:rFonts w:ascii="Times New Roman" w:hAnsi="Times New Roman" w:cs="Times New Roman"/>
        </w:rPr>
        <w:t>a</w:t>
      </w:r>
      <w:r w:rsidRPr="00DA0573">
        <w:rPr>
          <w:rFonts w:ascii="Times New Roman" w:hAnsi="Times New Roman" w:cs="Times New Roman"/>
        </w:rPr>
        <w:t xml:space="preserve">), identify </w:t>
      </w:r>
      <w:r w:rsidR="004E5A11" w:rsidRPr="004E5A11">
        <w:rPr>
          <w:rFonts w:ascii="Times New Roman" w:hAnsi="Times New Roman" w:cs="Times New Roman"/>
        </w:rPr>
        <w:t xml:space="preserve">whether the NQTL is applicable to medical/surgical or MH/SUD benefits for </w:t>
      </w:r>
      <w:r w:rsidRPr="00DA0573">
        <w:rPr>
          <w:rFonts w:ascii="Times New Roman" w:hAnsi="Times New Roman" w:cs="Times New Roman"/>
        </w:rPr>
        <w:t>each applicable benefit classification and sub</w:t>
      </w:r>
      <w:r w:rsidR="007601C1">
        <w:rPr>
          <w:rFonts w:ascii="Times New Roman" w:hAnsi="Times New Roman" w:cs="Times New Roman"/>
        </w:rPr>
        <w:t>-</w:t>
      </w:r>
      <w:r w:rsidRPr="00DA0573">
        <w:rPr>
          <w:rFonts w:ascii="Times New Roman" w:hAnsi="Times New Roman" w:cs="Times New Roman"/>
        </w:rPr>
        <w:t>classification in the table below.</w:t>
      </w:r>
      <w:r w:rsidR="00DA2EBC">
        <w:rPr>
          <w:rFonts w:ascii="Times New Roman" w:hAnsi="Times New Roman" w:cs="Times New Roman"/>
        </w:rPr>
        <w:t xml:space="preserve">  </w:t>
      </w:r>
      <w:r w:rsidR="00441227" w:rsidRPr="00441227">
        <w:rPr>
          <w:rFonts w:ascii="Times New Roman" w:hAnsi="Times New Roman" w:cs="Times New Roman"/>
        </w:rPr>
        <w:t>Indicate whether the NQTL applies by classification and sub-classification by entering “Yes” or “No” in the appropriate box. If the NQTL applies only to certain services within such classification and/or sub-classification, list each covered service to which the NQTL applies.</w:t>
      </w:r>
      <w:r w:rsidR="00441227">
        <w:rPr>
          <w:rFonts w:ascii="Times New Roman" w:hAnsi="Times New Roman" w:cs="Times New Roman"/>
        </w:rPr>
        <w:t xml:space="preserve"> </w:t>
      </w:r>
      <w:r w:rsidR="0003149F">
        <w:rPr>
          <w:rFonts w:ascii="Times New Roman" w:hAnsi="Times New Roman" w:cs="Times New Roman"/>
        </w:rPr>
        <w:t>For the purposes of the NQTL analyses</w:t>
      </w:r>
      <w:r w:rsidR="00934017">
        <w:rPr>
          <w:rFonts w:ascii="Times New Roman" w:hAnsi="Times New Roman" w:cs="Times New Roman"/>
        </w:rPr>
        <w:t xml:space="preserve"> for each plan</w:t>
      </w:r>
      <w:r w:rsidR="0003149F">
        <w:rPr>
          <w:rFonts w:ascii="Times New Roman" w:hAnsi="Times New Roman" w:cs="Times New Roman"/>
        </w:rPr>
        <w:t>, i</w:t>
      </w:r>
      <w:r w:rsidR="00DA2EBC">
        <w:rPr>
          <w:rFonts w:ascii="Times New Roman" w:hAnsi="Times New Roman" w:cs="Times New Roman"/>
        </w:rPr>
        <w:t>f a carrier has elected not to divide be</w:t>
      </w:r>
      <w:r w:rsidR="0003149F">
        <w:rPr>
          <w:rFonts w:ascii="Times New Roman" w:hAnsi="Times New Roman" w:cs="Times New Roman"/>
        </w:rPr>
        <w:t xml:space="preserve">nefits furnished on an outpatient basis into the two sub-classifications </w:t>
      </w:r>
      <w:r w:rsidR="00934017">
        <w:rPr>
          <w:rFonts w:ascii="Times New Roman" w:hAnsi="Times New Roman" w:cs="Times New Roman"/>
        </w:rPr>
        <w:t xml:space="preserve">described in 45 CFR § 146.136(c)(3)(iii)(C) </w:t>
      </w:r>
      <w:r w:rsidR="0003149F">
        <w:rPr>
          <w:rFonts w:ascii="Times New Roman" w:hAnsi="Times New Roman" w:cs="Times New Roman"/>
        </w:rPr>
        <w:t>for “office visits” and “all other outpatient items and services</w:t>
      </w:r>
      <w:r w:rsidR="00934017">
        <w:rPr>
          <w:rFonts w:ascii="Times New Roman" w:hAnsi="Times New Roman" w:cs="Times New Roman"/>
        </w:rPr>
        <w:t>,</w:t>
      </w:r>
      <w:r w:rsidR="0003149F">
        <w:rPr>
          <w:rFonts w:ascii="Times New Roman" w:hAnsi="Times New Roman" w:cs="Times New Roman"/>
        </w:rPr>
        <w:t>” then the “</w:t>
      </w:r>
      <w:r w:rsidR="0003149F" w:rsidRPr="0003149F">
        <w:rPr>
          <w:rFonts w:ascii="Times New Roman" w:hAnsi="Times New Roman" w:cs="Times New Roman"/>
        </w:rPr>
        <w:t>Outpatient-Office sub</w:t>
      </w:r>
      <w:r w:rsidR="007601C1">
        <w:rPr>
          <w:rFonts w:ascii="Times New Roman" w:hAnsi="Times New Roman" w:cs="Times New Roman"/>
        </w:rPr>
        <w:t>-</w:t>
      </w:r>
      <w:r w:rsidR="0003149F" w:rsidRPr="0003149F">
        <w:rPr>
          <w:rFonts w:ascii="Times New Roman" w:hAnsi="Times New Roman" w:cs="Times New Roman"/>
        </w:rPr>
        <w:t>classification</w:t>
      </w:r>
      <w:r w:rsidR="0003149F">
        <w:rPr>
          <w:rFonts w:ascii="Times New Roman" w:hAnsi="Times New Roman" w:cs="Times New Roman"/>
        </w:rPr>
        <w:t xml:space="preserve">” columns shall be used to identify the NQTLs applicable to </w:t>
      </w:r>
      <w:r w:rsidR="00EE267E">
        <w:rPr>
          <w:rFonts w:ascii="Times New Roman" w:hAnsi="Times New Roman" w:cs="Times New Roman"/>
        </w:rPr>
        <w:t>the outpatient classification</w:t>
      </w:r>
      <w:r w:rsidR="0003149F" w:rsidRPr="0003149F">
        <w:rPr>
          <w:rFonts w:ascii="Times New Roman" w:hAnsi="Times New Roman" w:cs="Times New Roman"/>
        </w:rPr>
        <w:t xml:space="preserve"> </w:t>
      </w:r>
      <w:r w:rsidR="00EE267E">
        <w:rPr>
          <w:rFonts w:ascii="Times New Roman" w:hAnsi="Times New Roman" w:cs="Times New Roman"/>
        </w:rPr>
        <w:t xml:space="preserve">in general.  In this </w:t>
      </w:r>
      <w:r w:rsidR="004E46DC">
        <w:rPr>
          <w:rFonts w:ascii="Times New Roman" w:hAnsi="Times New Roman" w:cs="Times New Roman"/>
        </w:rPr>
        <w:t>case</w:t>
      </w:r>
      <w:r w:rsidR="00EE267E">
        <w:rPr>
          <w:rFonts w:ascii="Times New Roman" w:hAnsi="Times New Roman" w:cs="Times New Roman"/>
        </w:rPr>
        <w:t>,</w:t>
      </w:r>
      <w:r w:rsidR="00934017">
        <w:rPr>
          <w:rFonts w:ascii="Times New Roman" w:hAnsi="Times New Roman" w:cs="Times New Roman"/>
        </w:rPr>
        <w:t xml:space="preserve"> the carrier shall include the following explanation in the </w:t>
      </w:r>
      <w:r w:rsidR="00934017" w:rsidRPr="004E46DC">
        <w:rPr>
          <w:rFonts w:ascii="Times New Roman" w:hAnsi="Times New Roman" w:cs="Times New Roman"/>
        </w:rPr>
        <w:t>“Outpatient-Office sub</w:t>
      </w:r>
      <w:r w:rsidR="007601C1">
        <w:rPr>
          <w:rFonts w:ascii="Times New Roman" w:hAnsi="Times New Roman" w:cs="Times New Roman"/>
        </w:rPr>
        <w:t>-</w:t>
      </w:r>
      <w:r w:rsidR="00934017" w:rsidRPr="004E46DC">
        <w:rPr>
          <w:rFonts w:ascii="Times New Roman" w:hAnsi="Times New Roman" w:cs="Times New Roman"/>
        </w:rPr>
        <w:t xml:space="preserve">classification” columns </w:t>
      </w:r>
      <w:r w:rsidR="00934017">
        <w:rPr>
          <w:rFonts w:ascii="Times New Roman" w:hAnsi="Times New Roman" w:cs="Times New Roman"/>
        </w:rPr>
        <w:t xml:space="preserve">before identifying whether the listed NQTLs are applicable: </w:t>
      </w:r>
      <w:r w:rsidR="00EE267E">
        <w:rPr>
          <w:rFonts w:ascii="Times New Roman" w:hAnsi="Times New Roman" w:cs="Times New Roman"/>
        </w:rPr>
        <w:t>“</w:t>
      </w:r>
      <w:r w:rsidR="004E46DC">
        <w:rPr>
          <w:rFonts w:ascii="Times New Roman" w:hAnsi="Times New Roman" w:cs="Times New Roman"/>
        </w:rPr>
        <w:t>Outpatient sub</w:t>
      </w:r>
      <w:r w:rsidR="007601C1">
        <w:rPr>
          <w:rFonts w:ascii="Times New Roman" w:hAnsi="Times New Roman" w:cs="Times New Roman"/>
        </w:rPr>
        <w:t>-</w:t>
      </w:r>
      <w:r w:rsidR="004E46DC">
        <w:rPr>
          <w:rFonts w:ascii="Times New Roman" w:hAnsi="Times New Roman" w:cs="Times New Roman"/>
        </w:rPr>
        <w:t>classifications were not utilized for the NQTL analysis</w:t>
      </w:r>
      <w:r w:rsidR="00934017">
        <w:rPr>
          <w:rFonts w:ascii="Times New Roman" w:hAnsi="Times New Roman" w:cs="Times New Roman"/>
        </w:rPr>
        <w:t xml:space="preserve"> for this plan</w:t>
      </w:r>
      <w:r w:rsidR="004E46DC">
        <w:rPr>
          <w:rFonts w:ascii="Times New Roman" w:hAnsi="Times New Roman" w:cs="Times New Roman"/>
        </w:rPr>
        <w:t>. Responses apply to outpatient classification in general</w:t>
      </w:r>
      <w:r w:rsidR="00934017">
        <w:rPr>
          <w:rFonts w:ascii="Times New Roman" w:hAnsi="Times New Roman" w:cs="Times New Roman"/>
        </w:rPr>
        <w:t>.</w:t>
      </w:r>
      <w:r w:rsidR="00EE267E">
        <w:rPr>
          <w:rFonts w:ascii="Times New Roman" w:hAnsi="Times New Roman" w:cs="Times New Roman"/>
        </w:rPr>
        <w:t>”</w:t>
      </w:r>
      <w:r w:rsidR="0003149F">
        <w:rPr>
          <w:rFonts w:ascii="Times New Roman" w:hAnsi="Times New Roman" w:cs="Times New Roman"/>
        </w:rPr>
        <w:t xml:space="preserve"> </w:t>
      </w:r>
    </w:p>
    <w:p w14:paraId="15B7286C" w14:textId="5B5C826F" w:rsidR="0020176F" w:rsidRDefault="0020176F" w:rsidP="0020176F">
      <w:pPr>
        <w:pStyle w:val="ListParagraph"/>
        <w:spacing w:after="0"/>
        <w:rPr>
          <w:rFonts w:ascii="Times New Roman" w:hAnsi="Times New Roman" w:cs="Times New Roman"/>
        </w:rPr>
      </w:pPr>
    </w:p>
    <w:p w14:paraId="0704B33F" w14:textId="24E5459F" w:rsidR="0020176F" w:rsidRDefault="0020176F" w:rsidP="0020176F">
      <w:pPr>
        <w:pStyle w:val="ListParagraph"/>
        <w:spacing w:after="0"/>
        <w:rPr>
          <w:rFonts w:ascii="Times New Roman" w:hAnsi="Times New Roman" w:cs="Times New Roman"/>
        </w:rPr>
      </w:pPr>
      <w:r>
        <w:rPr>
          <w:rFonts w:ascii="Times New Roman" w:hAnsi="Times New Roman" w:cs="Times New Roman"/>
        </w:rPr>
        <w:t xml:space="preserve">“Emergency” and “Prescription” are listed as one of the benefit classifications </w:t>
      </w:r>
      <w:r w:rsidR="00911826">
        <w:rPr>
          <w:rFonts w:ascii="Times New Roman" w:hAnsi="Times New Roman" w:cs="Times New Roman"/>
        </w:rPr>
        <w:t>under each NQTL category on the analysis report template, while “</w:t>
      </w:r>
      <w:r>
        <w:rPr>
          <w:rFonts w:ascii="Times New Roman" w:hAnsi="Times New Roman" w:cs="Times New Roman"/>
        </w:rPr>
        <w:t>Emergency Services</w:t>
      </w:r>
      <w:r w:rsidR="00911826">
        <w:rPr>
          <w:rFonts w:ascii="Times New Roman" w:hAnsi="Times New Roman" w:cs="Times New Roman"/>
        </w:rPr>
        <w:t>”</w:t>
      </w:r>
      <w:r>
        <w:rPr>
          <w:rFonts w:ascii="Times New Roman" w:hAnsi="Times New Roman" w:cs="Times New Roman"/>
        </w:rPr>
        <w:t xml:space="preserve"> and </w:t>
      </w:r>
      <w:r w:rsidR="00911826">
        <w:rPr>
          <w:rFonts w:ascii="Times New Roman" w:hAnsi="Times New Roman" w:cs="Times New Roman"/>
        </w:rPr>
        <w:t>“</w:t>
      </w:r>
      <w:r>
        <w:rPr>
          <w:rFonts w:ascii="Times New Roman" w:hAnsi="Times New Roman" w:cs="Times New Roman"/>
        </w:rPr>
        <w:t>Pharmacy Services</w:t>
      </w:r>
      <w:r w:rsidR="00911826">
        <w:rPr>
          <w:rFonts w:ascii="Times New Roman" w:hAnsi="Times New Roman" w:cs="Times New Roman"/>
        </w:rPr>
        <w:t>”</w:t>
      </w:r>
      <w:r>
        <w:rPr>
          <w:rFonts w:ascii="Times New Roman" w:hAnsi="Times New Roman" w:cs="Times New Roman"/>
        </w:rPr>
        <w:t xml:space="preserve"> are </w:t>
      </w:r>
      <w:r w:rsidR="00911826">
        <w:rPr>
          <w:rFonts w:ascii="Times New Roman" w:hAnsi="Times New Roman" w:cs="Times New Roman"/>
        </w:rPr>
        <w:t xml:space="preserve">also </w:t>
      </w:r>
      <w:r>
        <w:rPr>
          <w:rFonts w:ascii="Times New Roman" w:hAnsi="Times New Roman" w:cs="Times New Roman"/>
        </w:rPr>
        <w:t xml:space="preserve">included as separate NQTL categories on </w:t>
      </w:r>
      <w:r w:rsidR="00911826">
        <w:rPr>
          <w:rFonts w:ascii="Times New Roman" w:hAnsi="Times New Roman" w:cs="Times New Roman"/>
        </w:rPr>
        <w:t>the</w:t>
      </w:r>
      <w:r>
        <w:rPr>
          <w:rFonts w:ascii="Times New Roman" w:hAnsi="Times New Roman" w:cs="Times New Roman"/>
        </w:rPr>
        <w:t xml:space="preserve"> template</w:t>
      </w:r>
      <w:r w:rsidR="00911826">
        <w:rPr>
          <w:rFonts w:ascii="Times New Roman" w:hAnsi="Times New Roman" w:cs="Times New Roman"/>
        </w:rPr>
        <w:t>.  Where “Emergency” and “Prescription” are listed as benefit classification</w:t>
      </w:r>
      <w:r w:rsidR="00637B8F">
        <w:rPr>
          <w:rFonts w:ascii="Times New Roman" w:hAnsi="Times New Roman" w:cs="Times New Roman"/>
        </w:rPr>
        <w:t>s under a particular NQTL category</w:t>
      </w:r>
      <w:r w:rsidR="00911826">
        <w:rPr>
          <w:rFonts w:ascii="Times New Roman" w:hAnsi="Times New Roman" w:cs="Times New Roman"/>
        </w:rPr>
        <w:t>,</w:t>
      </w:r>
      <w:r w:rsidR="00637B8F">
        <w:rPr>
          <w:rFonts w:ascii="Times New Roman" w:hAnsi="Times New Roman" w:cs="Times New Roman"/>
        </w:rPr>
        <w:t xml:space="preserve"> information </w:t>
      </w:r>
      <w:r w:rsidR="00D64851">
        <w:rPr>
          <w:rFonts w:ascii="Times New Roman" w:hAnsi="Times New Roman" w:cs="Times New Roman"/>
        </w:rPr>
        <w:t xml:space="preserve">on the applicable NQTLs </w:t>
      </w:r>
      <w:r w:rsidR="00637B8F">
        <w:rPr>
          <w:rFonts w:ascii="Times New Roman" w:hAnsi="Times New Roman" w:cs="Times New Roman"/>
        </w:rPr>
        <w:t>should be reported in that section.</w:t>
      </w:r>
      <w:r w:rsidR="00911826">
        <w:rPr>
          <w:rFonts w:ascii="Times New Roman" w:hAnsi="Times New Roman" w:cs="Times New Roman"/>
        </w:rPr>
        <w:t xml:space="preserve"> </w:t>
      </w:r>
      <w:r>
        <w:rPr>
          <w:rFonts w:ascii="Times New Roman" w:hAnsi="Times New Roman" w:cs="Times New Roman"/>
        </w:rPr>
        <w:t xml:space="preserve"> </w:t>
      </w:r>
      <w:r w:rsidR="00D64851">
        <w:rPr>
          <w:rFonts w:ascii="Times New Roman" w:hAnsi="Times New Roman" w:cs="Times New Roman"/>
        </w:rPr>
        <w:t xml:space="preserve">The separate “Emergency Services” and “Pharmacy Services” NQTL categories are intended to encompass only those NQTLs that are not captured elsewhere in the analysis report.  Additionally, for the separate “Emergency Services” and “Pharmacy Services” NQTL categories, no information for other benefit classifications and sub-classifications </w:t>
      </w:r>
      <w:r w:rsidR="00E43B35">
        <w:rPr>
          <w:rFonts w:ascii="Times New Roman" w:hAnsi="Times New Roman" w:cs="Times New Roman"/>
        </w:rPr>
        <w:t>is required to</w:t>
      </w:r>
      <w:r w:rsidR="00D64851">
        <w:rPr>
          <w:rFonts w:ascii="Times New Roman" w:hAnsi="Times New Roman" w:cs="Times New Roman"/>
        </w:rPr>
        <w:t xml:space="preserve"> be reported.</w:t>
      </w:r>
    </w:p>
    <w:p w14:paraId="6F27C2E5" w14:textId="60E8875A" w:rsidR="008A647B" w:rsidRPr="00DA0573" w:rsidRDefault="008A647B" w:rsidP="00DA0573">
      <w:pPr>
        <w:pStyle w:val="ListParagraph"/>
        <w:spacing w:after="0"/>
        <w:rPr>
          <w:rFonts w:ascii="Times New Roman" w:hAnsi="Times New Roman" w:cs="Times New Roman"/>
        </w:rPr>
      </w:pPr>
      <w:r w:rsidRPr="00DA0573">
        <w:rPr>
          <w:rFonts w:ascii="Times New Roman" w:hAnsi="Times New Roman" w:cs="Times New Roman"/>
        </w:rPr>
        <w:t xml:space="preserve"> </w:t>
      </w:r>
    </w:p>
    <w:p w14:paraId="71CCF67F" w14:textId="5ABDCE6C" w:rsidR="000C37CC" w:rsidRDefault="000C37CC" w:rsidP="000C37CC">
      <w:pPr>
        <w:pStyle w:val="ListParagraph"/>
        <w:numPr>
          <w:ilvl w:val="0"/>
          <w:numId w:val="39"/>
        </w:numPr>
        <w:rPr>
          <w:rFonts w:ascii="Times New Roman" w:hAnsi="Times New Roman" w:cs="Times New Roman"/>
        </w:rPr>
      </w:pPr>
      <w:r w:rsidRPr="000C37CC">
        <w:rPr>
          <w:rFonts w:ascii="Times New Roman" w:hAnsi="Times New Roman" w:cs="Times New Roman"/>
        </w:rPr>
        <w:t>For each NQTL listed in the Step 1(b), explain the methodology used to determine whether to apply the NQTL to either the entire classification and/or sub</w:t>
      </w:r>
      <w:r w:rsidR="007601C1">
        <w:rPr>
          <w:rFonts w:ascii="Times New Roman" w:hAnsi="Times New Roman" w:cs="Times New Roman"/>
        </w:rPr>
        <w:t>-</w:t>
      </w:r>
      <w:r w:rsidRPr="000C37CC">
        <w:rPr>
          <w:rFonts w:ascii="Times New Roman" w:hAnsi="Times New Roman" w:cs="Times New Roman"/>
        </w:rPr>
        <w:t>classification of benefits or to apply the NQTL to certain identified services within such classification and/or sub</w:t>
      </w:r>
      <w:r w:rsidR="007601C1">
        <w:rPr>
          <w:rFonts w:ascii="Times New Roman" w:hAnsi="Times New Roman" w:cs="Times New Roman"/>
        </w:rPr>
        <w:t>-</w:t>
      </w:r>
      <w:r w:rsidRPr="000C37CC">
        <w:rPr>
          <w:rFonts w:ascii="Times New Roman" w:hAnsi="Times New Roman" w:cs="Times New Roman"/>
        </w:rPr>
        <w:t>classification</w:t>
      </w:r>
    </w:p>
    <w:p w14:paraId="1C96A632" w14:textId="77777777" w:rsidR="008A647B" w:rsidRPr="00DA0573" w:rsidRDefault="008A647B" w:rsidP="00DA0573">
      <w:pPr>
        <w:pStyle w:val="ListParagraph"/>
        <w:rPr>
          <w:rFonts w:ascii="Times New Roman" w:hAnsi="Times New Roman" w:cs="Times New Roman"/>
        </w:rPr>
      </w:pPr>
    </w:p>
    <w:p w14:paraId="7ACA1071" w14:textId="05930CE3" w:rsidR="007601C1" w:rsidRPr="00DA0573" w:rsidRDefault="00E37FDC" w:rsidP="007601C1">
      <w:pPr>
        <w:rPr>
          <w:rFonts w:ascii="Times New Roman" w:hAnsi="Times New Roman" w:cs="Times New Roman"/>
        </w:rPr>
      </w:pPr>
      <w:r>
        <w:rPr>
          <w:rFonts w:ascii="Times New Roman" w:hAnsi="Times New Roman" w:cs="Times New Roman"/>
        </w:rPr>
        <w:t>Steps 2 – 7 shall be performed for each benefit classification and/or sub-classification.</w:t>
      </w:r>
    </w:p>
    <w:p w14:paraId="67132342" w14:textId="071D5F26" w:rsidR="001E12D9" w:rsidRDefault="00306FE3" w:rsidP="00DA0573">
      <w:pPr>
        <w:spacing w:after="0" w:line="240" w:lineRule="auto"/>
        <w:rPr>
          <w:rFonts w:ascii="Times New Roman" w:hAnsi="Times New Roman" w:cs="Times New Roman"/>
          <w:bCs/>
          <w:u w:val="single"/>
        </w:rPr>
      </w:pPr>
      <w:r w:rsidRPr="00DA0573">
        <w:rPr>
          <w:rFonts w:ascii="Times New Roman" w:hAnsi="Times New Roman" w:cs="Times New Roman"/>
          <w:bCs/>
          <w:u w:val="single"/>
        </w:rPr>
        <w:t>Step 2</w:t>
      </w:r>
      <w:r w:rsidR="001E12D9">
        <w:rPr>
          <w:rFonts w:ascii="Times New Roman" w:hAnsi="Times New Roman" w:cs="Times New Roman"/>
          <w:bCs/>
          <w:u w:val="single"/>
        </w:rPr>
        <w:t>:</w:t>
      </w:r>
    </w:p>
    <w:p w14:paraId="5E848EBD" w14:textId="0CD7F745" w:rsidR="001E12D9" w:rsidRPr="00DA0573" w:rsidRDefault="001E12D9" w:rsidP="00DA0573">
      <w:pPr>
        <w:spacing w:after="0" w:line="240" w:lineRule="auto"/>
        <w:rPr>
          <w:rFonts w:ascii="Times New Roman" w:hAnsi="Times New Roman" w:cs="Times New Roman"/>
          <w:bCs/>
          <w:u w:val="single"/>
        </w:rPr>
      </w:pPr>
    </w:p>
    <w:p w14:paraId="42765D49" w14:textId="24D0B251" w:rsidR="001E12D9" w:rsidRDefault="0051531B" w:rsidP="00DA0573">
      <w:pPr>
        <w:spacing w:after="0" w:line="240" w:lineRule="auto"/>
        <w:rPr>
          <w:rFonts w:ascii="Times New Roman" w:hAnsi="Times New Roman" w:cs="Times New Roman"/>
        </w:rPr>
      </w:pPr>
      <w:r w:rsidRPr="0051531B">
        <w:rPr>
          <w:rFonts w:ascii="Times New Roman" w:hAnsi="Times New Roman" w:cs="Times New Roman"/>
          <w:bCs/>
        </w:rPr>
        <w:t xml:space="preserve">For each NQTL listed in Step 1, </w:t>
      </w:r>
      <w:r>
        <w:rPr>
          <w:rFonts w:ascii="Times New Roman" w:hAnsi="Times New Roman" w:cs="Times New Roman"/>
          <w:bCs/>
        </w:rPr>
        <w:t>i</w:t>
      </w:r>
      <w:r w:rsidRPr="00DA0573">
        <w:rPr>
          <w:rFonts w:ascii="Times New Roman" w:hAnsi="Times New Roman" w:cs="Times New Roman"/>
          <w:bCs/>
        </w:rPr>
        <w:t xml:space="preserve">dentify </w:t>
      </w:r>
      <w:r w:rsidR="00306FE3" w:rsidRPr="00DA0573">
        <w:rPr>
          <w:rFonts w:ascii="Times New Roman" w:hAnsi="Times New Roman" w:cs="Times New Roman"/>
          <w:bCs/>
        </w:rPr>
        <w:t xml:space="preserve">the factors and the source for each factor used to determine that it is appropriate to apply </w:t>
      </w:r>
      <w:r>
        <w:rPr>
          <w:rFonts w:ascii="Times New Roman" w:hAnsi="Times New Roman" w:cs="Times New Roman"/>
          <w:bCs/>
        </w:rPr>
        <w:t>each</w:t>
      </w:r>
      <w:r w:rsidRPr="00DA0573">
        <w:rPr>
          <w:rFonts w:ascii="Times New Roman" w:hAnsi="Times New Roman" w:cs="Times New Roman"/>
          <w:bCs/>
        </w:rPr>
        <w:t xml:space="preserve"> </w:t>
      </w:r>
      <w:r w:rsidR="00306FE3" w:rsidRPr="00DA0573">
        <w:rPr>
          <w:rFonts w:ascii="Times New Roman" w:hAnsi="Times New Roman" w:cs="Times New Roman"/>
          <w:bCs/>
        </w:rPr>
        <w:t xml:space="preserve">NQTL to </w:t>
      </w:r>
      <w:r w:rsidRPr="0051531B">
        <w:rPr>
          <w:rFonts w:ascii="Times New Roman" w:hAnsi="Times New Roman" w:cs="Times New Roman"/>
          <w:bCs/>
        </w:rPr>
        <w:t>each classification, sub</w:t>
      </w:r>
      <w:r w:rsidR="007601C1">
        <w:rPr>
          <w:rFonts w:ascii="Times New Roman" w:hAnsi="Times New Roman" w:cs="Times New Roman"/>
          <w:bCs/>
        </w:rPr>
        <w:t>-</w:t>
      </w:r>
      <w:r w:rsidRPr="0051531B">
        <w:rPr>
          <w:rFonts w:ascii="Times New Roman" w:hAnsi="Times New Roman" w:cs="Times New Roman"/>
          <w:bCs/>
        </w:rPr>
        <w:t>classification</w:t>
      </w:r>
      <w:r>
        <w:rPr>
          <w:rFonts w:ascii="Times New Roman" w:hAnsi="Times New Roman" w:cs="Times New Roman"/>
          <w:bCs/>
        </w:rPr>
        <w:t>,</w:t>
      </w:r>
      <w:r w:rsidRPr="0051531B">
        <w:rPr>
          <w:rFonts w:ascii="Times New Roman" w:hAnsi="Times New Roman" w:cs="Times New Roman"/>
          <w:bCs/>
        </w:rPr>
        <w:t xml:space="preserve"> or certain services within such classification or sub</w:t>
      </w:r>
      <w:r w:rsidR="007601C1">
        <w:rPr>
          <w:rFonts w:ascii="Times New Roman" w:hAnsi="Times New Roman" w:cs="Times New Roman"/>
          <w:bCs/>
        </w:rPr>
        <w:t>-</w:t>
      </w:r>
      <w:r w:rsidRPr="0051531B">
        <w:rPr>
          <w:rFonts w:ascii="Times New Roman" w:hAnsi="Times New Roman" w:cs="Times New Roman"/>
          <w:bCs/>
        </w:rPr>
        <w:t xml:space="preserve">classification for both </w:t>
      </w:r>
      <w:r w:rsidR="00306FE3" w:rsidRPr="00DA0573">
        <w:rPr>
          <w:rFonts w:ascii="Times New Roman" w:hAnsi="Times New Roman" w:cs="Times New Roman"/>
          <w:bCs/>
        </w:rPr>
        <w:t>MH/SUD and M/S benefits. Also, identify factors that were considered, but rejected. If a</w:t>
      </w:r>
      <w:r>
        <w:rPr>
          <w:rFonts w:ascii="Times New Roman" w:hAnsi="Times New Roman" w:cs="Times New Roman"/>
          <w:bCs/>
        </w:rPr>
        <w:t>ny</w:t>
      </w:r>
      <w:r w:rsidR="00306FE3" w:rsidRPr="00DA0573">
        <w:rPr>
          <w:rFonts w:ascii="Times New Roman" w:hAnsi="Times New Roman" w:cs="Times New Roman"/>
          <w:bCs/>
        </w:rPr>
        <w:t xml:space="preserve"> factor was given more weight than another, what is the reason for the difference in weighting?</w:t>
      </w:r>
      <w:r w:rsidR="001E12D9" w:rsidRPr="00DA0573">
        <w:rPr>
          <w:rFonts w:ascii="Times New Roman" w:hAnsi="Times New Roman" w:cs="Times New Roman"/>
        </w:rPr>
        <w:t xml:space="preserve"> (§15-144(e)(1)).</w:t>
      </w:r>
    </w:p>
    <w:p w14:paraId="18E0860D" w14:textId="5435C9F6" w:rsidR="00306FE3" w:rsidRPr="00DA0573" w:rsidRDefault="00306FE3" w:rsidP="00DA0573">
      <w:pPr>
        <w:spacing w:after="0" w:line="240" w:lineRule="auto"/>
        <w:rPr>
          <w:rFonts w:ascii="Times New Roman" w:hAnsi="Times New Roman" w:cs="Times New Roman"/>
        </w:rPr>
      </w:pPr>
    </w:p>
    <w:p w14:paraId="78835C96" w14:textId="077CC603" w:rsidR="00C10A31" w:rsidRPr="00DA0573" w:rsidRDefault="005D3400" w:rsidP="004A6D31">
      <w:pPr>
        <w:numPr>
          <w:ilvl w:val="0"/>
          <w:numId w:val="2"/>
        </w:numPr>
        <w:rPr>
          <w:rFonts w:ascii="Times New Roman" w:hAnsi="Times New Roman" w:cs="Times New Roman"/>
        </w:rPr>
      </w:pPr>
      <w:r w:rsidRPr="00DA0573">
        <w:rPr>
          <w:rFonts w:ascii="Times New Roman" w:hAnsi="Times New Roman" w:cs="Times New Roman"/>
        </w:rPr>
        <w:t>Identify the factors that the plan uses to determine whether each benefit</w:t>
      </w:r>
      <w:r w:rsidR="007B2E83">
        <w:rPr>
          <w:rFonts w:ascii="Times New Roman" w:hAnsi="Times New Roman" w:cs="Times New Roman"/>
        </w:rPr>
        <w:t>, service</w:t>
      </w:r>
      <w:r w:rsidR="00182956">
        <w:rPr>
          <w:rFonts w:ascii="Times New Roman" w:hAnsi="Times New Roman" w:cs="Times New Roman"/>
        </w:rPr>
        <w:t>,</w:t>
      </w:r>
      <w:r w:rsidRPr="00DA0573">
        <w:rPr>
          <w:rFonts w:ascii="Times New Roman" w:hAnsi="Times New Roman" w:cs="Times New Roman"/>
        </w:rPr>
        <w:t xml:space="preserve"> or procedure/revenue code, as a matter of plan policy, is deemed subject to the NQTLs.  </w:t>
      </w:r>
    </w:p>
    <w:p w14:paraId="3120D786" w14:textId="29ECDD63" w:rsidR="00BF6BA2" w:rsidRPr="00DA0573" w:rsidRDefault="00BF6BA2" w:rsidP="009A7999">
      <w:pPr>
        <w:pStyle w:val="ListParagraph"/>
        <w:tabs>
          <w:tab w:val="left" w:pos="1575"/>
        </w:tabs>
        <w:ind w:left="1080"/>
        <w:rPr>
          <w:rFonts w:ascii="Times New Roman" w:hAnsi="Times New Roman" w:cs="Times New Roman"/>
        </w:rPr>
      </w:pPr>
      <w:r w:rsidRPr="00DA0573">
        <w:rPr>
          <w:rFonts w:ascii="Times New Roman" w:hAnsi="Times New Roman" w:cs="Times New Roman"/>
        </w:rPr>
        <w:t>Illustrative examples of factors include</w:t>
      </w:r>
      <w:r w:rsidR="00653A39">
        <w:rPr>
          <w:rFonts w:ascii="Times New Roman" w:hAnsi="Times New Roman" w:cs="Times New Roman"/>
        </w:rPr>
        <w:t>,</w:t>
      </w:r>
      <w:r w:rsidRPr="00DA0573">
        <w:rPr>
          <w:rFonts w:ascii="Times New Roman" w:hAnsi="Times New Roman" w:cs="Times New Roman"/>
        </w:rPr>
        <w:t xml:space="preserve"> but are not limited to:</w:t>
      </w:r>
    </w:p>
    <w:p w14:paraId="53F8FCB5" w14:textId="0C07637C" w:rsidR="00BF6BA2" w:rsidRPr="00DA0573" w:rsidRDefault="00BF6BA2" w:rsidP="00BF6BA2">
      <w:pPr>
        <w:numPr>
          <w:ilvl w:val="1"/>
          <w:numId w:val="2"/>
        </w:numPr>
        <w:tabs>
          <w:tab w:val="left" w:pos="1575"/>
        </w:tabs>
        <w:rPr>
          <w:rFonts w:ascii="Times New Roman" w:hAnsi="Times New Roman" w:cs="Times New Roman"/>
        </w:rPr>
      </w:pPr>
      <w:r w:rsidRPr="00DA0573">
        <w:rPr>
          <w:rFonts w:ascii="Times New Roman" w:hAnsi="Times New Roman" w:cs="Times New Roman"/>
        </w:rPr>
        <w:t xml:space="preserve">Excessive utilization; </w:t>
      </w:r>
    </w:p>
    <w:p w14:paraId="12803ABB" w14:textId="724BD246" w:rsidR="003C0F5D" w:rsidRPr="00DA0573" w:rsidRDefault="003C0F5D" w:rsidP="00BF6BA2">
      <w:pPr>
        <w:numPr>
          <w:ilvl w:val="1"/>
          <w:numId w:val="2"/>
        </w:numPr>
        <w:tabs>
          <w:tab w:val="left" w:pos="1575"/>
        </w:tabs>
        <w:rPr>
          <w:rFonts w:ascii="Times New Roman" w:hAnsi="Times New Roman" w:cs="Times New Roman"/>
        </w:rPr>
      </w:pPr>
      <w:r w:rsidRPr="00DA0573">
        <w:rPr>
          <w:rFonts w:ascii="Times New Roman" w:hAnsi="Times New Roman" w:cs="Times New Roman"/>
        </w:rPr>
        <w:t>High cost of treatment;</w:t>
      </w:r>
    </w:p>
    <w:p w14:paraId="12037B1B" w14:textId="77777777" w:rsidR="00BF6BA2" w:rsidRPr="00DA0573" w:rsidRDefault="00BF6BA2" w:rsidP="00BF6BA2">
      <w:pPr>
        <w:numPr>
          <w:ilvl w:val="1"/>
          <w:numId w:val="2"/>
        </w:numPr>
        <w:tabs>
          <w:tab w:val="left" w:pos="1575"/>
        </w:tabs>
        <w:rPr>
          <w:rFonts w:ascii="Times New Roman" w:hAnsi="Times New Roman" w:cs="Times New Roman"/>
        </w:rPr>
      </w:pPr>
      <w:r w:rsidRPr="00DA0573">
        <w:rPr>
          <w:rFonts w:ascii="Times New Roman" w:hAnsi="Times New Roman" w:cs="Times New Roman"/>
        </w:rPr>
        <w:t xml:space="preserve">Recent medical cost escalation; </w:t>
      </w:r>
    </w:p>
    <w:p w14:paraId="2A967BFF" w14:textId="0D1A1BDC" w:rsidR="00BF6BA2" w:rsidRPr="00DA0573" w:rsidRDefault="00BF6BA2" w:rsidP="00BF6BA2">
      <w:pPr>
        <w:numPr>
          <w:ilvl w:val="1"/>
          <w:numId w:val="2"/>
        </w:numPr>
        <w:tabs>
          <w:tab w:val="left" w:pos="1575"/>
        </w:tabs>
        <w:rPr>
          <w:rFonts w:ascii="Times New Roman" w:hAnsi="Times New Roman" w:cs="Times New Roman"/>
        </w:rPr>
      </w:pPr>
      <w:r w:rsidRPr="00DA0573">
        <w:rPr>
          <w:rFonts w:ascii="Times New Roman" w:hAnsi="Times New Roman" w:cs="Times New Roman"/>
        </w:rPr>
        <w:t>Provider discretion in determining diagnosis</w:t>
      </w:r>
      <w:r w:rsidR="009A7999" w:rsidRPr="00DA0573">
        <w:rPr>
          <w:rFonts w:ascii="Times New Roman" w:hAnsi="Times New Roman" w:cs="Times New Roman"/>
        </w:rPr>
        <w:t>, or type or length of treatment</w:t>
      </w:r>
      <w:r w:rsidRPr="00DA0573">
        <w:rPr>
          <w:rFonts w:ascii="Times New Roman" w:hAnsi="Times New Roman" w:cs="Times New Roman"/>
        </w:rPr>
        <w:t xml:space="preserve">; </w:t>
      </w:r>
    </w:p>
    <w:p w14:paraId="6A1FC086" w14:textId="77777777" w:rsidR="00BF6BA2" w:rsidRPr="00DA0573" w:rsidRDefault="00BF6BA2" w:rsidP="00BF6BA2">
      <w:pPr>
        <w:numPr>
          <w:ilvl w:val="1"/>
          <w:numId w:val="2"/>
        </w:numPr>
        <w:tabs>
          <w:tab w:val="left" w:pos="1575"/>
        </w:tabs>
        <w:rPr>
          <w:rFonts w:ascii="Times New Roman" w:hAnsi="Times New Roman" w:cs="Times New Roman"/>
        </w:rPr>
      </w:pPr>
      <w:r w:rsidRPr="00DA0573">
        <w:rPr>
          <w:rFonts w:ascii="Times New Roman" w:hAnsi="Times New Roman" w:cs="Times New Roman"/>
        </w:rPr>
        <w:t xml:space="preserve">Lack of clinical efficiency of treatment or service; </w:t>
      </w:r>
    </w:p>
    <w:p w14:paraId="5F29BB2E" w14:textId="77777777" w:rsidR="00BF6BA2" w:rsidRPr="00DA0573" w:rsidRDefault="00BF6BA2" w:rsidP="00BF6BA2">
      <w:pPr>
        <w:numPr>
          <w:ilvl w:val="1"/>
          <w:numId w:val="2"/>
        </w:numPr>
        <w:tabs>
          <w:tab w:val="left" w:pos="1575"/>
        </w:tabs>
        <w:rPr>
          <w:rFonts w:ascii="Times New Roman" w:hAnsi="Times New Roman" w:cs="Times New Roman"/>
        </w:rPr>
      </w:pPr>
      <w:r w:rsidRPr="00DA0573">
        <w:rPr>
          <w:rFonts w:ascii="Times New Roman" w:hAnsi="Times New Roman" w:cs="Times New Roman"/>
        </w:rPr>
        <w:t xml:space="preserve">High variability in cost per episode of care; </w:t>
      </w:r>
    </w:p>
    <w:p w14:paraId="5EFEC021" w14:textId="5CE8AADB" w:rsidR="00BF6BA2" w:rsidRPr="00DA0573" w:rsidRDefault="00BF6BA2" w:rsidP="00BF6BA2">
      <w:pPr>
        <w:numPr>
          <w:ilvl w:val="1"/>
          <w:numId w:val="2"/>
        </w:numPr>
        <w:tabs>
          <w:tab w:val="left" w:pos="1575"/>
        </w:tabs>
        <w:rPr>
          <w:rFonts w:ascii="Times New Roman" w:hAnsi="Times New Roman" w:cs="Times New Roman"/>
        </w:rPr>
      </w:pPr>
      <w:r w:rsidRPr="00DA0573">
        <w:rPr>
          <w:rFonts w:ascii="Times New Roman" w:hAnsi="Times New Roman" w:cs="Times New Roman"/>
        </w:rPr>
        <w:t xml:space="preserve">High levels of variation in length of stay; </w:t>
      </w:r>
    </w:p>
    <w:p w14:paraId="64EF7A95" w14:textId="75C7C617" w:rsidR="003C0F5D" w:rsidRPr="00DA0573" w:rsidRDefault="003C0F5D" w:rsidP="00BF6BA2">
      <w:pPr>
        <w:numPr>
          <w:ilvl w:val="1"/>
          <w:numId w:val="2"/>
        </w:numPr>
        <w:tabs>
          <w:tab w:val="left" w:pos="1575"/>
        </w:tabs>
        <w:rPr>
          <w:rFonts w:ascii="Times New Roman" w:hAnsi="Times New Roman" w:cs="Times New Roman"/>
        </w:rPr>
      </w:pPr>
      <w:r w:rsidRPr="00DA0573">
        <w:rPr>
          <w:rFonts w:ascii="Times New Roman" w:hAnsi="Times New Roman" w:cs="Times New Roman"/>
        </w:rPr>
        <w:t>High variability in quality of care;</w:t>
      </w:r>
    </w:p>
    <w:p w14:paraId="6E1DABD2" w14:textId="77777777" w:rsidR="00BF6BA2" w:rsidRPr="00DA0573" w:rsidRDefault="00BF6BA2" w:rsidP="00BF6BA2">
      <w:pPr>
        <w:numPr>
          <w:ilvl w:val="1"/>
          <w:numId w:val="2"/>
        </w:numPr>
        <w:tabs>
          <w:tab w:val="left" w:pos="1575"/>
        </w:tabs>
        <w:rPr>
          <w:rFonts w:ascii="Times New Roman" w:hAnsi="Times New Roman" w:cs="Times New Roman"/>
        </w:rPr>
      </w:pPr>
      <w:r w:rsidRPr="00DA0573">
        <w:rPr>
          <w:rFonts w:ascii="Times New Roman" w:hAnsi="Times New Roman" w:cs="Times New Roman"/>
        </w:rPr>
        <w:t xml:space="preserve">Lack of adherence to quality standards; </w:t>
      </w:r>
    </w:p>
    <w:p w14:paraId="341A2476" w14:textId="77777777" w:rsidR="00153609" w:rsidRPr="00DA0573" w:rsidRDefault="00BF6BA2" w:rsidP="00BF6BA2">
      <w:pPr>
        <w:numPr>
          <w:ilvl w:val="1"/>
          <w:numId w:val="2"/>
        </w:numPr>
        <w:tabs>
          <w:tab w:val="left" w:pos="1575"/>
        </w:tabs>
        <w:rPr>
          <w:rFonts w:ascii="Times New Roman" w:hAnsi="Times New Roman" w:cs="Times New Roman"/>
        </w:rPr>
      </w:pPr>
      <w:r w:rsidRPr="00DA0573">
        <w:rPr>
          <w:rFonts w:ascii="Times New Roman" w:hAnsi="Times New Roman" w:cs="Times New Roman"/>
        </w:rPr>
        <w:t xml:space="preserve">Claim types with high percentage of fraud; </w:t>
      </w:r>
    </w:p>
    <w:p w14:paraId="42B73A58" w14:textId="77777777" w:rsidR="00153609" w:rsidRPr="00DA0573" w:rsidRDefault="00153609" w:rsidP="00153609">
      <w:pPr>
        <w:numPr>
          <w:ilvl w:val="1"/>
          <w:numId w:val="2"/>
        </w:numPr>
        <w:tabs>
          <w:tab w:val="left" w:pos="1575"/>
        </w:tabs>
        <w:rPr>
          <w:rFonts w:ascii="Times New Roman" w:hAnsi="Times New Roman" w:cs="Times New Roman"/>
        </w:rPr>
      </w:pPr>
      <w:r w:rsidRPr="00DA0573">
        <w:rPr>
          <w:rFonts w:ascii="Times New Roman" w:hAnsi="Times New Roman" w:cs="Times New Roman"/>
        </w:rPr>
        <w:t>Clinical efficacy of the proposed treatment or service;</w:t>
      </w:r>
    </w:p>
    <w:p w14:paraId="03557E78" w14:textId="27EA76D7" w:rsidR="00BF6BA2" w:rsidRPr="00DA0573" w:rsidRDefault="00153609" w:rsidP="00153609">
      <w:pPr>
        <w:numPr>
          <w:ilvl w:val="1"/>
          <w:numId w:val="2"/>
        </w:numPr>
        <w:tabs>
          <w:tab w:val="left" w:pos="1575"/>
        </w:tabs>
        <w:rPr>
          <w:rFonts w:ascii="Times New Roman" w:hAnsi="Times New Roman" w:cs="Times New Roman"/>
        </w:rPr>
      </w:pPr>
      <w:r w:rsidRPr="00DA0573">
        <w:rPr>
          <w:rFonts w:ascii="Times New Roman" w:hAnsi="Times New Roman" w:cs="Times New Roman"/>
        </w:rPr>
        <w:t xml:space="preserve">Severity or chronicity of the MH/SUD or medical/surgical condition; </w:t>
      </w:r>
    </w:p>
    <w:p w14:paraId="12C8819B" w14:textId="1AFC71E7" w:rsidR="00BF6BA2" w:rsidRPr="00DA0573" w:rsidRDefault="00BF6BA2" w:rsidP="00153609">
      <w:pPr>
        <w:numPr>
          <w:ilvl w:val="1"/>
          <w:numId w:val="2"/>
        </w:numPr>
        <w:tabs>
          <w:tab w:val="left" w:pos="1575"/>
        </w:tabs>
        <w:rPr>
          <w:rFonts w:ascii="Times New Roman" w:hAnsi="Times New Roman" w:cs="Times New Roman"/>
        </w:rPr>
      </w:pPr>
      <w:r w:rsidRPr="00DA0573">
        <w:rPr>
          <w:rFonts w:ascii="Times New Roman" w:hAnsi="Times New Roman" w:cs="Times New Roman"/>
        </w:rPr>
        <w:t>Current an</w:t>
      </w:r>
      <w:r w:rsidR="00153609" w:rsidRPr="00DA0573">
        <w:rPr>
          <w:rFonts w:ascii="Times New Roman" w:hAnsi="Times New Roman" w:cs="Times New Roman"/>
        </w:rPr>
        <w:t>d projected demand for services;</w:t>
      </w:r>
    </w:p>
    <w:p w14:paraId="61AA6B5B" w14:textId="1C112EA7" w:rsidR="009A7999" w:rsidRPr="00DA0573" w:rsidRDefault="009A7999" w:rsidP="00153609">
      <w:pPr>
        <w:numPr>
          <w:ilvl w:val="1"/>
          <w:numId w:val="2"/>
        </w:numPr>
        <w:tabs>
          <w:tab w:val="left" w:pos="1575"/>
        </w:tabs>
        <w:rPr>
          <w:rFonts w:ascii="Times New Roman" w:hAnsi="Times New Roman" w:cs="Times New Roman"/>
        </w:rPr>
      </w:pPr>
      <w:r w:rsidRPr="00DA0573">
        <w:rPr>
          <w:rFonts w:ascii="Times New Roman" w:hAnsi="Times New Roman" w:cs="Times New Roman"/>
        </w:rPr>
        <w:t>Licensing and accreditation of providers;</w:t>
      </w:r>
    </w:p>
    <w:p w14:paraId="0966937F" w14:textId="18C9DFB7" w:rsidR="00153609" w:rsidRPr="00DA0573" w:rsidRDefault="00153609" w:rsidP="00153609">
      <w:pPr>
        <w:numPr>
          <w:ilvl w:val="1"/>
          <w:numId w:val="2"/>
        </w:numPr>
        <w:tabs>
          <w:tab w:val="left" w:pos="1575"/>
        </w:tabs>
        <w:rPr>
          <w:rFonts w:ascii="Times New Roman" w:hAnsi="Times New Roman" w:cs="Times New Roman"/>
        </w:rPr>
      </w:pPr>
      <w:r w:rsidRPr="00DA0573">
        <w:rPr>
          <w:rFonts w:ascii="Times New Roman" w:hAnsi="Times New Roman" w:cs="Times New Roman"/>
        </w:rPr>
        <w:t>Geographic market (i.e., market rate and payment type for provider type and/or specialty);</w:t>
      </w:r>
    </w:p>
    <w:p w14:paraId="3F3520D1" w14:textId="13983AC9" w:rsidR="00153609" w:rsidRPr="00DA0573" w:rsidRDefault="00153609" w:rsidP="00153609">
      <w:pPr>
        <w:numPr>
          <w:ilvl w:val="1"/>
          <w:numId w:val="2"/>
        </w:numPr>
        <w:tabs>
          <w:tab w:val="left" w:pos="1575"/>
        </w:tabs>
        <w:rPr>
          <w:rFonts w:ascii="Times New Roman" w:hAnsi="Times New Roman" w:cs="Times New Roman"/>
        </w:rPr>
      </w:pPr>
      <w:r w:rsidRPr="00DA0573">
        <w:rPr>
          <w:rFonts w:ascii="Times New Roman" w:hAnsi="Times New Roman" w:cs="Times New Roman"/>
        </w:rPr>
        <w:t>Provider type (i.e., hospital, clinic, and practitioner) and/or specialty;</w:t>
      </w:r>
    </w:p>
    <w:p w14:paraId="7438B5CF" w14:textId="5213F98D" w:rsidR="00153609" w:rsidRPr="00DA0573" w:rsidRDefault="00153609" w:rsidP="00153609">
      <w:pPr>
        <w:numPr>
          <w:ilvl w:val="1"/>
          <w:numId w:val="2"/>
        </w:numPr>
        <w:tabs>
          <w:tab w:val="left" w:pos="1575"/>
        </w:tabs>
        <w:rPr>
          <w:rFonts w:ascii="Times New Roman" w:hAnsi="Times New Roman" w:cs="Times New Roman"/>
        </w:rPr>
      </w:pPr>
      <w:r w:rsidRPr="00DA0573">
        <w:rPr>
          <w:rFonts w:ascii="Times New Roman" w:hAnsi="Times New Roman" w:cs="Times New Roman"/>
        </w:rPr>
        <w:t>Supply of provider type and/or specialty;</w:t>
      </w:r>
    </w:p>
    <w:p w14:paraId="3EA3B5C5" w14:textId="63596977" w:rsidR="00153609" w:rsidRPr="00DA0573" w:rsidRDefault="00153609" w:rsidP="00153609">
      <w:pPr>
        <w:numPr>
          <w:ilvl w:val="1"/>
          <w:numId w:val="2"/>
        </w:numPr>
        <w:tabs>
          <w:tab w:val="left" w:pos="1575"/>
        </w:tabs>
        <w:rPr>
          <w:rFonts w:ascii="Times New Roman" w:hAnsi="Times New Roman" w:cs="Times New Roman"/>
        </w:rPr>
      </w:pPr>
      <w:r w:rsidRPr="00DA0573">
        <w:rPr>
          <w:rFonts w:ascii="Times New Roman" w:hAnsi="Times New Roman" w:cs="Times New Roman"/>
        </w:rPr>
        <w:t>Network need and/or demand for provider type and/or specialty;</w:t>
      </w:r>
    </w:p>
    <w:p w14:paraId="29810BE0" w14:textId="782FF2DD" w:rsidR="00153609" w:rsidRPr="00DA0573" w:rsidRDefault="00153609" w:rsidP="00153609">
      <w:pPr>
        <w:numPr>
          <w:ilvl w:val="1"/>
          <w:numId w:val="2"/>
        </w:numPr>
        <w:tabs>
          <w:tab w:val="left" w:pos="1575"/>
        </w:tabs>
        <w:rPr>
          <w:rFonts w:ascii="Times New Roman" w:hAnsi="Times New Roman" w:cs="Times New Roman"/>
        </w:rPr>
      </w:pPr>
      <w:r w:rsidRPr="00DA0573">
        <w:rPr>
          <w:rFonts w:ascii="Times New Roman" w:hAnsi="Times New Roman" w:cs="Times New Roman"/>
        </w:rPr>
        <w:t>Medicare reimbursement rates;</w:t>
      </w:r>
    </w:p>
    <w:p w14:paraId="48B3533B" w14:textId="77A9C947" w:rsidR="00153609" w:rsidRPr="00DA0573" w:rsidRDefault="00153609" w:rsidP="00153609">
      <w:pPr>
        <w:numPr>
          <w:ilvl w:val="1"/>
          <w:numId w:val="2"/>
        </w:numPr>
        <w:tabs>
          <w:tab w:val="left" w:pos="1575"/>
        </w:tabs>
        <w:rPr>
          <w:rFonts w:ascii="Times New Roman" w:hAnsi="Times New Roman" w:cs="Times New Roman"/>
        </w:rPr>
      </w:pPr>
      <w:r w:rsidRPr="00DA0573">
        <w:rPr>
          <w:rFonts w:ascii="Times New Roman" w:hAnsi="Times New Roman" w:cs="Times New Roman"/>
        </w:rPr>
        <w:t>Training, experience, and licensure of provider</w:t>
      </w:r>
      <w:r w:rsidR="00220F9E">
        <w:rPr>
          <w:rFonts w:ascii="Times New Roman" w:hAnsi="Times New Roman" w:cs="Times New Roman"/>
        </w:rPr>
        <w:t>.</w:t>
      </w:r>
    </w:p>
    <w:p w14:paraId="6283EBB7" w14:textId="07823AEC" w:rsidR="00C10A31" w:rsidRPr="00DA0573" w:rsidRDefault="005D3400" w:rsidP="004A6D31">
      <w:pPr>
        <w:numPr>
          <w:ilvl w:val="0"/>
          <w:numId w:val="2"/>
        </w:numPr>
        <w:rPr>
          <w:rFonts w:ascii="Times New Roman" w:hAnsi="Times New Roman" w:cs="Times New Roman"/>
        </w:rPr>
      </w:pPr>
      <w:r w:rsidRPr="00DA0573">
        <w:rPr>
          <w:rFonts w:ascii="Times New Roman" w:hAnsi="Times New Roman" w:cs="Times New Roman"/>
        </w:rPr>
        <w:t xml:space="preserve">Identify the sources for the factors that the plan uses to determine whether each service or code is deemed subject to the NQTLs.  </w:t>
      </w:r>
    </w:p>
    <w:p w14:paraId="675C9956" w14:textId="77777777" w:rsidR="009A7999" w:rsidRPr="00DA0573" w:rsidRDefault="009A7999" w:rsidP="009A7999">
      <w:pPr>
        <w:tabs>
          <w:tab w:val="left" w:pos="1575"/>
        </w:tabs>
        <w:ind w:left="720"/>
        <w:rPr>
          <w:rFonts w:ascii="Times New Roman" w:hAnsi="Times New Roman" w:cs="Times New Roman"/>
        </w:rPr>
      </w:pPr>
      <w:r w:rsidRPr="00DA0573">
        <w:rPr>
          <w:rFonts w:ascii="Times New Roman" w:hAnsi="Times New Roman" w:cs="Times New Roman"/>
        </w:rPr>
        <w:t xml:space="preserve">Illustrative examples of sources of factors include, but are not limited to: </w:t>
      </w:r>
    </w:p>
    <w:p w14:paraId="66737479" w14:textId="77777777" w:rsidR="009A7999" w:rsidRPr="00DA0573" w:rsidRDefault="009A7999" w:rsidP="009A7999">
      <w:pPr>
        <w:numPr>
          <w:ilvl w:val="1"/>
          <w:numId w:val="2"/>
        </w:numPr>
        <w:tabs>
          <w:tab w:val="left" w:pos="1575"/>
        </w:tabs>
        <w:rPr>
          <w:rFonts w:ascii="Times New Roman" w:hAnsi="Times New Roman" w:cs="Times New Roman"/>
        </w:rPr>
      </w:pPr>
      <w:r w:rsidRPr="00DA0573">
        <w:rPr>
          <w:rFonts w:ascii="Times New Roman" w:hAnsi="Times New Roman" w:cs="Times New Roman"/>
        </w:rPr>
        <w:lastRenderedPageBreak/>
        <w:t xml:space="preserve">Internal claims analysis; </w:t>
      </w:r>
    </w:p>
    <w:p w14:paraId="764825F0" w14:textId="77777777" w:rsidR="009A7999" w:rsidRPr="00DA0573" w:rsidRDefault="009A7999" w:rsidP="009A7999">
      <w:pPr>
        <w:numPr>
          <w:ilvl w:val="1"/>
          <w:numId w:val="2"/>
        </w:numPr>
        <w:tabs>
          <w:tab w:val="left" w:pos="1575"/>
        </w:tabs>
        <w:rPr>
          <w:rFonts w:ascii="Times New Roman" w:hAnsi="Times New Roman" w:cs="Times New Roman"/>
        </w:rPr>
      </w:pPr>
      <w:r w:rsidRPr="00DA0573">
        <w:rPr>
          <w:rFonts w:ascii="Times New Roman" w:hAnsi="Times New Roman" w:cs="Times New Roman"/>
        </w:rPr>
        <w:t xml:space="preserve">Medical expert reviews; </w:t>
      </w:r>
    </w:p>
    <w:p w14:paraId="48E45C2D" w14:textId="77777777" w:rsidR="009A7999" w:rsidRPr="00DA0573" w:rsidRDefault="009A7999" w:rsidP="009A7999">
      <w:pPr>
        <w:numPr>
          <w:ilvl w:val="1"/>
          <w:numId w:val="2"/>
        </w:numPr>
        <w:tabs>
          <w:tab w:val="left" w:pos="1575"/>
        </w:tabs>
        <w:rPr>
          <w:rFonts w:ascii="Times New Roman" w:hAnsi="Times New Roman" w:cs="Times New Roman"/>
        </w:rPr>
      </w:pPr>
      <w:r w:rsidRPr="00DA0573">
        <w:rPr>
          <w:rFonts w:ascii="Times New Roman" w:hAnsi="Times New Roman" w:cs="Times New Roman"/>
        </w:rPr>
        <w:t xml:space="preserve">State and federal requirements; </w:t>
      </w:r>
    </w:p>
    <w:p w14:paraId="7BB10B14" w14:textId="77777777" w:rsidR="009A7999" w:rsidRPr="00DA0573" w:rsidRDefault="009A7999" w:rsidP="009A7999">
      <w:pPr>
        <w:numPr>
          <w:ilvl w:val="1"/>
          <w:numId w:val="2"/>
        </w:numPr>
        <w:tabs>
          <w:tab w:val="left" w:pos="1575"/>
        </w:tabs>
        <w:rPr>
          <w:rFonts w:ascii="Times New Roman" w:hAnsi="Times New Roman" w:cs="Times New Roman"/>
        </w:rPr>
      </w:pPr>
      <w:r w:rsidRPr="00DA0573">
        <w:rPr>
          <w:rFonts w:ascii="Times New Roman" w:hAnsi="Times New Roman" w:cs="Times New Roman"/>
        </w:rPr>
        <w:t xml:space="preserve">National accreditation standards; </w:t>
      </w:r>
    </w:p>
    <w:p w14:paraId="5202EB36" w14:textId="77777777" w:rsidR="009A7999" w:rsidRPr="00DA0573" w:rsidRDefault="009A7999" w:rsidP="009A7999">
      <w:pPr>
        <w:numPr>
          <w:ilvl w:val="1"/>
          <w:numId w:val="2"/>
        </w:numPr>
        <w:tabs>
          <w:tab w:val="left" w:pos="1575"/>
        </w:tabs>
        <w:rPr>
          <w:rFonts w:ascii="Times New Roman" w:hAnsi="Times New Roman" w:cs="Times New Roman"/>
        </w:rPr>
      </w:pPr>
      <w:r w:rsidRPr="00DA0573">
        <w:rPr>
          <w:rFonts w:ascii="Times New Roman" w:hAnsi="Times New Roman" w:cs="Times New Roman"/>
        </w:rPr>
        <w:t xml:space="preserve">Internal market and competitive analysis; </w:t>
      </w:r>
    </w:p>
    <w:p w14:paraId="0EBCA52E" w14:textId="77777777" w:rsidR="000A4022" w:rsidRPr="00DA0573" w:rsidRDefault="009A7999" w:rsidP="009A7999">
      <w:pPr>
        <w:numPr>
          <w:ilvl w:val="1"/>
          <w:numId w:val="2"/>
        </w:numPr>
        <w:tabs>
          <w:tab w:val="left" w:pos="1575"/>
        </w:tabs>
        <w:rPr>
          <w:rFonts w:ascii="Times New Roman" w:hAnsi="Times New Roman" w:cs="Times New Roman"/>
        </w:rPr>
      </w:pPr>
      <w:r w:rsidRPr="00DA0573">
        <w:rPr>
          <w:rFonts w:ascii="Times New Roman" w:hAnsi="Times New Roman" w:cs="Times New Roman"/>
        </w:rPr>
        <w:t xml:space="preserve">Medicare physician fee schedules; </w:t>
      </w:r>
    </w:p>
    <w:p w14:paraId="2A1B2AA2" w14:textId="79BEF85E" w:rsidR="009A7999" w:rsidRPr="00DA0573" w:rsidRDefault="000A4022" w:rsidP="000A4022">
      <w:pPr>
        <w:numPr>
          <w:ilvl w:val="1"/>
          <w:numId w:val="2"/>
        </w:numPr>
        <w:tabs>
          <w:tab w:val="left" w:pos="1575"/>
        </w:tabs>
        <w:rPr>
          <w:rFonts w:ascii="Times New Roman" w:hAnsi="Times New Roman" w:cs="Times New Roman"/>
        </w:rPr>
      </w:pPr>
      <w:r w:rsidRPr="00DA0573">
        <w:rPr>
          <w:rFonts w:ascii="Times New Roman" w:hAnsi="Times New Roman" w:cs="Times New Roman"/>
        </w:rPr>
        <w:t xml:space="preserve">Internal quality standard studies; </w:t>
      </w:r>
    </w:p>
    <w:p w14:paraId="4F0EB260" w14:textId="06A5FE93" w:rsidR="000A4022" w:rsidRPr="00DA0573" w:rsidRDefault="000A4022" w:rsidP="000A4022">
      <w:pPr>
        <w:numPr>
          <w:ilvl w:val="1"/>
          <w:numId w:val="2"/>
        </w:numPr>
        <w:tabs>
          <w:tab w:val="left" w:pos="1575"/>
        </w:tabs>
        <w:rPr>
          <w:rFonts w:ascii="Times New Roman" w:hAnsi="Times New Roman" w:cs="Times New Roman"/>
        </w:rPr>
      </w:pPr>
      <w:r w:rsidRPr="00DA0573">
        <w:rPr>
          <w:rFonts w:ascii="Times New Roman" w:hAnsi="Times New Roman" w:cs="Times New Roman"/>
        </w:rPr>
        <w:t>External healthcare claims database;</w:t>
      </w:r>
    </w:p>
    <w:p w14:paraId="01DDF687" w14:textId="0F8A259C" w:rsidR="000A4022" w:rsidRPr="00DA0573" w:rsidRDefault="000A4022" w:rsidP="000A4022">
      <w:pPr>
        <w:numPr>
          <w:ilvl w:val="1"/>
          <w:numId w:val="2"/>
        </w:numPr>
        <w:tabs>
          <w:tab w:val="left" w:pos="1575"/>
        </w:tabs>
        <w:rPr>
          <w:rFonts w:ascii="Times New Roman" w:hAnsi="Times New Roman" w:cs="Times New Roman"/>
        </w:rPr>
      </w:pPr>
      <w:r w:rsidRPr="00DA0573">
        <w:rPr>
          <w:rFonts w:ascii="Times New Roman" w:hAnsi="Times New Roman" w:cs="Times New Roman"/>
        </w:rPr>
        <w:t>Current Medicare Physician Fee Schedule;</w:t>
      </w:r>
    </w:p>
    <w:p w14:paraId="4BCDDC51" w14:textId="749F12DA" w:rsidR="000A4022" w:rsidRPr="00DA0573" w:rsidRDefault="000A4022" w:rsidP="000A4022">
      <w:pPr>
        <w:numPr>
          <w:ilvl w:val="1"/>
          <w:numId w:val="2"/>
        </w:numPr>
        <w:tabs>
          <w:tab w:val="left" w:pos="1575"/>
        </w:tabs>
        <w:rPr>
          <w:rFonts w:ascii="Times New Roman" w:hAnsi="Times New Roman" w:cs="Times New Roman"/>
        </w:rPr>
      </w:pPr>
      <w:r w:rsidRPr="00DA0573">
        <w:rPr>
          <w:rFonts w:ascii="Times New Roman" w:hAnsi="Times New Roman" w:cs="Times New Roman"/>
        </w:rPr>
        <w:t>Medicare RVUs for CPT codes</w:t>
      </w:r>
      <w:r w:rsidR="00220F9E">
        <w:rPr>
          <w:rFonts w:ascii="Times New Roman" w:hAnsi="Times New Roman" w:cs="Times New Roman"/>
        </w:rPr>
        <w:t>.</w:t>
      </w:r>
    </w:p>
    <w:p w14:paraId="79F6A3D1" w14:textId="77777777" w:rsidR="00C10A31" w:rsidRPr="00DA0573" w:rsidRDefault="005D3400" w:rsidP="00306FE3">
      <w:pPr>
        <w:numPr>
          <w:ilvl w:val="0"/>
          <w:numId w:val="2"/>
        </w:numPr>
        <w:rPr>
          <w:rFonts w:ascii="Times New Roman" w:hAnsi="Times New Roman" w:cs="Times New Roman"/>
        </w:rPr>
      </w:pPr>
      <w:r w:rsidRPr="00DA0573">
        <w:rPr>
          <w:rFonts w:ascii="Times New Roman" w:hAnsi="Times New Roman" w:cs="Times New Roman"/>
        </w:rPr>
        <w:t>Identify factors that were considered, but rejected.</w:t>
      </w:r>
    </w:p>
    <w:p w14:paraId="05F78F0D" w14:textId="77777777" w:rsidR="00C10A31" w:rsidRPr="00DA0573" w:rsidRDefault="005D3400" w:rsidP="00306FE3">
      <w:pPr>
        <w:numPr>
          <w:ilvl w:val="0"/>
          <w:numId w:val="2"/>
        </w:numPr>
        <w:rPr>
          <w:rFonts w:ascii="Times New Roman" w:hAnsi="Times New Roman" w:cs="Times New Roman"/>
        </w:rPr>
      </w:pPr>
      <w:r w:rsidRPr="00DA0573">
        <w:rPr>
          <w:rFonts w:ascii="Times New Roman" w:hAnsi="Times New Roman" w:cs="Times New Roman"/>
        </w:rPr>
        <w:t>If a factor was given more weight than another, what is the reason for the difference in weighting?</w:t>
      </w:r>
    </w:p>
    <w:p w14:paraId="05379E99" w14:textId="77777777" w:rsidR="00C10A31" w:rsidRPr="00DA0573" w:rsidRDefault="005D3400" w:rsidP="004A6D31">
      <w:pPr>
        <w:numPr>
          <w:ilvl w:val="0"/>
          <w:numId w:val="2"/>
        </w:numPr>
        <w:rPr>
          <w:rFonts w:ascii="Times New Roman" w:hAnsi="Times New Roman" w:cs="Times New Roman"/>
        </w:rPr>
      </w:pPr>
      <w:r w:rsidRPr="00DA0573">
        <w:rPr>
          <w:rFonts w:ascii="Times New Roman" w:hAnsi="Times New Roman" w:cs="Times New Roman"/>
          <w:b/>
          <w:bCs/>
        </w:rPr>
        <w:t>Notes:</w:t>
      </w:r>
    </w:p>
    <w:p w14:paraId="41CC01E3" w14:textId="77777777" w:rsidR="00C10A31" w:rsidRPr="00DA0573" w:rsidRDefault="005D3400" w:rsidP="004A6D31">
      <w:pPr>
        <w:numPr>
          <w:ilvl w:val="1"/>
          <w:numId w:val="2"/>
        </w:numPr>
        <w:rPr>
          <w:rFonts w:ascii="Times New Roman" w:hAnsi="Times New Roman" w:cs="Times New Roman"/>
        </w:rPr>
      </w:pPr>
      <w:r w:rsidRPr="00DA0573">
        <w:rPr>
          <w:rFonts w:ascii="Times New Roman" w:hAnsi="Times New Roman" w:cs="Times New Roman"/>
        </w:rPr>
        <w:t xml:space="preserve">For utilization management NQTLs (e.g., prior authorization and concurrent review), it is understood that a determination of medical necessity is required for all services and it does not need to be noted as a factor.  </w:t>
      </w:r>
    </w:p>
    <w:p w14:paraId="78C77F53" w14:textId="262C02A5" w:rsidR="00785521" w:rsidRPr="00DA0573" w:rsidRDefault="005D3400" w:rsidP="000A4022">
      <w:pPr>
        <w:numPr>
          <w:ilvl w:val="1"/>
          <w:numId w:val="2"/>
        </w:numPr>
        <w:rPr>
          <w:rFonts w:ascii="Times New Roman" w:hAnsi="Times New Roman" w:cs="Times New Roman"/>
        </w:rPr>
      </w:pPr>
      <w:r w:rsidRPr="00DA0573">
        <w:rPr>
          <w:rFonts w:ascii="Times New Roman" w:hAnsi="Times New Roman" w:cs="Times New Roman"/>
        </w:rPr>
        <w:t>The fact that all services in a particular classification or sub</w:t>
      </w:r>
      <w:r w:rsidR="00306FE3" w:rsidRPr="00DA0573">
        <w:rPr>
          <w:rFonts w:ascii="Times New Roman" w:hAnsi="Times New Roman" w:cs="Times New Roman"/>
        </w:rPr>
        <w:t>-</w:t>
      </w:r>
      <w:r w:rsidRPr="00DA0573">
        <w:rPr>
          <w:rFonts w:ascii="Times New Roman" w:hAnsi="Times New Roman" w:cs="Times New Roman"/>
        </w:rPr>
        <w:t>classification are subject to the NQTL does not eliminate the requirement to identify the factors and sources for each factor.</w:t>
      </w:r>
    </w:p>
    <w:p w14:paraId="63FCC30E" w14:textId="2E91CF8A" w:rsidR="001E12D9" w:rsidRPr="00DA0573" w:rsidRDefault="00306FE3" w:rsidP="00DA0573">
      <w:pPr>
        <w:spacing w:after="0" w:line="240" w:lineRule="auto"/>
        <w:rPr>
          <w:rFonts w:ascii="Times New Roman" w:hAnsi="Times New Roman" w:cs="Times New Roman"/>
          <w:bCs/>
          <w:u w:val="single"/>
        </w:rPr>
      </w:pPr>
      <w:r w:rsidRPr="00DA0573">
        <w:rPr>
          <w:rFonts w:ascii="Times New Roman" w:hAnsi="Times New Roman" w:cs="Times New Roman"/>
          <w:bCs/>
          <w:u w:val="single"/>
        </w:rPr>
        <w:t>Step 3</w:t>
      </w:r>
      <w:r w:rsidR="001E12D9" w:rsidRPr="00DA0573">
        <w:rPr>
          <w:rFonts w:ascii="Times New Roman" w:hAnsi="Times New Roman" w:cs="Times New Roman"/>
          <w:bCs/>
          <w:u w:val="single"/>
        </w:rPr>
        <w:t>:</w:t>
      </w:r>
    </w:p>
    <w:p w14:paraId="4C6DE201" w14:textId="77777777" w:rsidR="001E12D9" w:rsidRPr="00DA0573" w:rsidRDefault="001E12D9" w:rsidP="00DA0573">
      <w:pPr>
        <w:spacing w:after="0" w:line="240" w:lineRule="auto"/>
        <w:rPr>
          <w:rFonts w:ascii="Times New Roman" w:hAnsi="Times New Roman" w:cs="Times New Roman"/>
          <w:bCs/>
        </w:rPr>
      </w:pPr>
    </w:p>
    <w:p w14:paraId="28A1E072" w14:textId="0EC7F13C" w:rsidR="001E12D9" w:rsidRPr="00DA0573" w:rsidRDefault="00CC0297" w:rsidP="00DA0573">
      <w:pPr>
        <w:spacing w:after="0" w:line="240" w:lineRule="auto"/>
        <w:rPr>
          <w:rFonts w:ascii="Times New Roman" w:hAnsi="Times New Roman" w:cs="Times New Roman"/>
        </w:rPr>
      </w:pPr>
      <w:r>
        <w:rPr>
          <w:rFonts w:ascii="Times New Roman" w:hAnsi="Times New Roman" w:cs="Times New Roman"/>
          <w:bCs/>
        </w:rPr>
        <w:t>Each</w:t>
      </w:r>
      <w:r w:rsidR="004A7661">
        <w:rPr>
          <w:rFonts w:ascii="Times New Roman" w:hAnsi="Times New Roman" w:cs="Times New Roman"/>
          <w:bCs/>
        </w:rPr>
        <w:t xml:space="preserve"> factor must be defined. </w:t>
      </w:r>
      <w:r w:rsidR="001E12D9" w:rsidRPr="00DA0573">
        <w:rPr>
          <w:rFonts w:ascii="Times New Roman" w:hAnsi="Times New Roman" w:cs="Times New Roman"/>
          <w:bCs/>
        </w:rPr>
        <w:t>Identify</w:t>
      </w:r>
      <w:r>
        <w:rPr>
          <w:rFonts w:ascii="Times New Roman" w:hAnsi="Times New Roman" w:cs="Times New Roman"/>
          <w:bCs/>
        </w:rPr>
        <w:t xml:space="preserve"> and</w:t>
      </w:r>
      <w:r w:rsidRPr="00DA0573">
        <w:rPr>
          <w:rFonts w:ascii="Times New Roman" w:hAnsi="Times New Roman" w:cs="Times New Roman"/>
          <w:bCs/>
        </w:rPr>
        <w:t xml:space="preserve"> </w:t>
      </w:r>
      <w:r w:rsidR="001E12D9" w:rsidRPr="00DA0573">
        <w:rPr>
          <w:rFonts w:ascii="Times New Roman" w:hAnsi="Times New Roman" w:cs="Times New Roman"/>
          <w:bCs/>
        </w:rPr>
        <w:t xml:space="preserve">define the </w:t>
      </w:r>
      <w:r w:rsidR="00B142DD">
        <w:rPr>
          <w:rFonts w:ascii="Times New Roman" w:hAnsi="Times New Roman" w:cs="Times New Roman"/>
          <w:bCs/>
        </w:rPr>
        <w:t xml:space="preserve">specific </w:t>
      </w:r>
      <w:r w:rsidR="001E12D9" w:rsidRPr="00DA0573">
        <w:rPr>
          <w:rFonts w:ascii="Times New Roman" w:hAnsi="Times New Roman" w:cs="Times New Roman"/>
          <w:bCs/>
        </w:rPr>
        <w:t>evidentiary standard</w:t>
      </w:r>
      <w:r>
        <w:rPr>
          <w:rFonts w:ascii="Times New Roman" w:hAnsi="Times New Roman" w:cs="Times New Roman"/>
          <w:bCs/>
        </w:rPr>
        <w:t>(s)</w:t>
      </w:r>
      <w:r w:rsidR="001E12D9" w:rsidRPr="00DA0573">
        <w:rPr>
          <w:rFonts w:ascii="Times New Roman" w:hAnsi="Times New Roman" w:cs="Times New Roman"/>
          <w:bCs/>
        </w:rPr>
        <w:t xml:space="preserve"> for each of the factors identified in Step 2 and any other evidence relied upon to design and apply </w:t>
      </w:r>
      <w:r>
        <w:rPr>
          <w:rFonts w:ascii="Times New Roman" w:hAnsi="Times New Roman" w:cs="Times New Roman"/>
          <w:bCs/>
        </w:rPr>
        <w:t>each</w:t>
      </w:r>
      <w:r w:rsidRPr="00DA0573">
        <w:rPr>
          <w:rFonts w:ascii="Times New Roman" w:hAnsi="Times New Roman" w:cs="Times New Roman"/>
          <w:bCs/>
        </w:rPr>
        <w:t xml:space="preserve"> </w:t>
      </w:r>
      <w:r w:rsidR="001E12D9" w:rsidRPr="00DA0573">
        <w:rPr>
          <w:rFonts w:ascii="Times New Roman" w:hAnsi="Times New Roman" w:cs="Times New Roman"/>
          <w:bCs/>
        </w:rPr>
        <w:t xml:space="preserve">NQTL. </w:t>
      </w:r>
      <w:r w:rsidRPr="00CC0297">
        <w:rPr>
          <w:rFonts w:ascii="Times New Roman" w:hAnsi="Times New Roman" w:cs="Times New Roman"/>
          <w:bCs/>
        </w:rPr>
        <w:t xml:space="preserve">Also, identify the source for each evidentiary standard. </w:t>
      </w:r>
      <w:r w:rsidR="001E12D9" w:rsidRPr="00DA0573">
        <w:rPr>
          <w:rFonts w:ascii="Times New Roman" w:hAnsi="Times New Roman" w:cs="Times New Roman"/>
        </w:rPr>
        <w:t>(§15-144(e)(2)).</w:t>
      </w:r>
      <w:r w:rsidR="00B142DD">
        <w:rPr>
          <w:rFonts w:ascii="Times New Roman" w:hAnsi="Times New Roman" w:cs="Times New Roman"/>
        </w:rPr>
        <w:t xml:space="preserve"> </w:t>
      </w:r>
      <w:r w:rsidR="004A7661">
        <w:rPr>
          <w:rFonts w:ascii="Times New Roman" w:hAnsi="Times New Roman" w:cs="Times New Roman"/>
        </w:rPr>
        <w:t xml:space="preserve"> </w:t>
      </w:r>
    </w:p>
    <w:p w14:paraId="78B466EA" w14:textId="77777777" w:rsidR="001E12D9" w:rsidRDefault="001E12D9" w:rsidP="00E24D64">
      <w:pPr>
        <w:spacing w:after="0" w:line="240" w:lineRule="auto"/>
        <w:rPr>
          <w:rFonts w:ascii="Times New Roman" w:hAnsi="Times New Roman" w:cs="Times New Roman"/>
          <w:b/>
          <w:bCs/>
        </w:rPr>
      </w:pPr>
    </w:p>
    <w:p w14:paraId="68FA5FD2" w14:textId="27C4B111" w:rsidR="004A7661" w:rsidRDefault="005D3400" w:rsidP="00DA0573">
      <w:pPr>
        <w:rPr>
          <w:rFonts w:ascii="Times New Roman" w:hAnsi="Times New Roman" w:cs="Times New Roman"/>
        </w:rPr>
      </w:pPr>
      <w:r w:rsidRPr="00DA0573">
        <w:rPr>
          <w:rFonts w:ascii="Times New Roman" w:hAnsi="Times New Roman" w:cs="Times New Roman"/>
        </w:rPr>
        <w:t>For each factor identified in Step 2, identify</w:t>
      </w:r>
      <w:r w:rsidR="0001421A" w:rsidRPr="00DA0573">
        <w:rPr>
          <w:rFonts w:ascii="Times New Roman" w:hAnsi="Times New Roman" w:cs="Times New Roman"/>
        </w:rPr>
        <w:t>, define,</w:t>
      </w:r>
      <w:r w:rsidRPr="00DA0573">
        <w:rPr>
          <w:rFonts w:ascii="Times New Roman" w:hAnsi="Times New Roman" w:cs="Times New Roman"/>
        </w:rPr>
        <w:t xml:space="preserve"> and provide the source for the evidentiary standard and/or data source, and any other evidence relied upon, to determine that the NQTLs apply to MH/SUD and M/S services. </w:t>
      </w:r>
    </w:p>
    <w:p w14:paraId="1838864F" w14:textId="77777777" w:rsidR="004A7661" w:rsidRPr="004A7661" w:rsidRDefault="004A7661" w:rsidP="004A7661">
      <w:pPr>
        <w:numPr>
          <w:ilvl w:val="0"/>
          <w:numId w:val="3"/>
        </w:numPr>
        <w:rPr>
          <w:rFonts w:ascii="Times New Roman" w:hAnsi="Times New Roman" w:cs="Times New Roman"/>
        </w:rPr>
      </w:pPr>
      <w:r w:rsidRPr="004A7661">
        <w:rPr>
          <w:rFonts w:ascii="Times New Roman" w:hAnsi="Times New Roman" w:cs="Times New Roman"/>
        </w:rPr>
        <w:t>Identify any threshold or quantitative evidentiary standard at which each factor will implicate the NQTL.</w:t>
      </w:r>
    </w:p>
    <w:p w14:paraId="4B855625" w14:textId="77777777" w:rsidR="004A7661" w:rsidRPr="004A7661" w:rsidRDefault="004A7661" w:rsidP="004A7661">
      <w:pPr>
        <w:numPr>
          <w:ilvl w:val="0"/>
          <w:numId w:val="20"/>
        </w:numPr>
        <w:rPr>
          <w:rFonts w:ascii="Times New Roman" w:hAnsi="Times New Roman" w:cs="Times New Roman"/>
        </w:rPr>
      </w:pPr>
      <w:r w:rsidRPr="004A7661">
        <w:rPr>
          <w:rFonts w:ascii="Times New Roman" w:hAnsi="Times New Roman" w:cs="Times New Roman"/>
        </w:rPr>
        <w:t>For example, if high cost is identified as a factor used in designing a prior authorization requirement, the carrier would identify and explain:</w:t>
      </w:r>
    </w:p>
    <w:p w14:paraId="5546B44A" w14:textId="5E9EC1BA" w:rsidR="004A7661" w:rsidRDefault="00182956" w:rsidP="004A7661">
      <w:pPr>
        <w:numPr>
          <w:ilvl w:val="0"/>
          <w:numId w:val="21"/>
        </w:numPr>
        <w:rPr>
          <w:rFonts w:ascii="Times New Roman" w:hAnsi="Times New Roman" w:cs="Times New Roman"/>
        </w:rPr>
      </w:pPr>
      <w:r>
        <w:rPr>
          <w:rFonts w:ascii="Times New Roman" w:hAnsi="Times New Roman" w:cs="Times New Roman"/>
        </w:rPr>
        <w:t>T</w:t>
      </w:r>
      <w:r w:rsidR="004A7661" w:rsidRPr="004A7661">
        <w:rPr>
          <w:rFonts w:ascii="Times New Roman" w:hAnsi="Times New Roman" w:cs="Times New Roman"/>
        </w:rPr>
        <w:t>he threshold dollar amount at which prior authorization will be required for any benefit;</w:t>
      </w:r>
    </w:p>
    <w:p w14:paraId="267878E7" w14:textId="271CFDCE" w:rsidR="00C10A31" w:rsidRDefault="00182956" w:rsidP="008C72B9">
      <w:pPr>
        <w:numPr>
          <w:ilvl w:val="0"/>
          <w:numId w:val="21"/>
        </w:numPr>
        <w:rPr>
          <w:rFonts w:ascii="Times New Roman" w:hAnsi="Times New Roman" w:cs="Times New Roman"/>
        </w:rPr>
      </w:pPr>
      <w:r>
        <w:rPr>
          <w:rFonts w:ascii="Times New Roman" w:hAnsi="Times New Roman" w:cs="Times New Roman"/>
        </w:rPr>
        <w:t>T</w:t>
      </w:r>
      <w:r w:rsidR="004A7661" w:rsidRPr="004A7661">
        <w:rPr>
          <w:rFonts w:ascii="Times New Roman" w:hAnsi="Times New Roman" w:cs="Times New Roman"/>
        </w:rPr>
        <w:t xml:space="preserve">he data analyses, and methodology and results used to determine the benefit is "high cost"; and how, if at all, the amount that is to be considered "high cost" is different for </w:t>
      </w:r>
      <w:r w:rsidR="004A7661" w:rsidRPr="004A7661">
        <w:rPr>
          <w:rFonts w:ascii="Times New Roman" w:hAnsi="Times New Roman" w:cs="Times New Roman"/>
        </w:rPr>
        <w:lastRenderedPageBreak/>
        <w:t>MH/SUD benefit as compared with M/S benefits, and how the carrier justifies this difference</w:t>
      </w:r>
      <w:r w:rsidR="004A7661">
        <w:rPr>
          <w:rFonts w:ascii="Times New Roman" w:hAnsi="Times New Roman" w:cs="Times New Roman"/>
        </w:rPr>
        <w:t>.</w:t>
      </w:r>
      <w:r w:rsidR="005D3400" w:rsidRPr="004A7661">
        <w:rPr>
          <w:rFonts w:ascii="Times New Roman" w:hAnsi="Times New Roman" w:cs="Times New Roman"/>
        </w:rPr>
        <w:t xml:space="preserve"> </w:t>
      </w:r>
    </w:p>
    <w:p w14:paraId="18A33AF2" w14:textId="77777777" w:rsidR="004A7661" w:rsidRPr="004A7661" w:rsidRDefault="004A7661" w:rsidP="004A7661">
      <w:pPr>
        <w:numPr>
          <w:ilvl w:val="0"/>
          <w:numId w:val="20"/>
        </w:numPr>
        <w:rPr>
          <w:rFonts w:ascii="Times New Roman" w:hAnsi="Times New Roman" w:cs="Times New Roman"/>
        </w:rPr>
      </w:pPr>
      <w:r w:rsidRPr="004A7661">
        <w:rPr>
          <w:rFonts w:ascii="Times New Roman" w:hAnsi="Times New Roman" w:cs="Times New Roman"/>
        </w:rPr>
        <w:t xml:space="preserve">Examples of how factors identified based on evidentiary standards may be defined to set applicable thresholds for NQTLs include, but are not limited to: </w:t>
      </w:r>
    </w:p>
    <w:p w14:paraId="49191588" w14:textId="6CACC0F3" w:rsidR="004A7661" w:rsidRPr="004A7661" w:rsidRDefault="004A7661" w:rsidP="004A7661">
      <w:pPr>
        <w:numPr>
          <w:ilvl w:val="1"/>
          <w:numId w:val="21"/>
        </w:numPr>
        <w:rPr>
          <w:rFonts w:ascii="Times New Roman" w:hAnsi="Times New Roman" w:cs="Times New Roman"/>
        </w:rPr>
      </w:pPr>
      <w:r w:rsidRPr="004A7661">
        <w:rPr>
          <w:rFonts w:ascii="Times New Roman" w:hAnsi="Times New Roman" w:cs="Times New Roman"/>
        </w:rPr>
        <w:t>Excessive utilization may be considered as a factor to design the NQTL when utilization is two standard deviations above average utilization per episode of care</w:t>
      </w:r>
      <w:r w:rsidR="00220F9E">
        <w:rPr>
          <w:rFonts w:ascii="Times New Roman" w:hAnsi="Times New Roman" w:cs="Times New Roman"/>
        </w:rPr>
        <w:t>;</w:t>
      </w:r>
      <w:r w:rsidRPr="004A7661">
        <w:rPr>
          <w:rFonts w:ascii="Times New Roman" w:hAnsi="Times New Roman" w:cs="Times New Roman"/>
        </w:rPr>
        <w:t xml:space="preserve"> </w:t>
      </w:r>
    </w:p>
    <w:p w14:paraId="625BD50D" w14:textId="7751EBD2" w:rsidR="004A7661" w:rsidRPr="004A7661" w:rsidRDefault="004A7661" w:rsidP="004A7661">
      <w:pPr>
        <w:numPr>
          <w:ilvl w:val="1"/>
          <w:numId w:val="21"/>
        </w:numPr>
        <w:rPr>
          <w:rFonts w:ascii="Times New Roman" w:hAnsi="Times New Roman" w:cs="Times New Roman"/>
        </w:rPr>
      </w:pPr>
      <w:r w:rsidRPr="004A7661">
        <w:rPr>
          <w:rFonts w:ascii="Times New Roman" w:hAnsi="Times New Roman" w:cs="Times New Roman"/>
        </w:rPr>
        <w:t>Recent medical cost escalation may be considered as a factor based on internal claims data showing that medical cost for certain services increased 10% or more per year for two years</w:t>
      </w:r>
      <w:r w:rsidR="00220F9E">
        <w:rPr>
          <w:rFonts w:ascii="Times New Roman" w:hAnsi="Times New Roman" w:cs="Times New Roman"/>
        </w:rPr>
        <w:t>;</w:t>
      </w:r>
      <w:r w:rsidRPr="004A7661">
        <w:rPr>
          <w:rFonts w:ascii="Times New Roman" w:hAnsi="Times New Roman" w:cs="Times New Roman"/>
        </w:rPr>
        <w:t xml:space="preserve"> </w:t>
      </w:r>
    </w:p>
    <w:p w14:paraId="78093AF9" w14:textId="7C9B7C2B" w:rsidR="004A7661" w:rsidRPr="004A7661" w:rsidRDefault="004A7661" w:rsidP="004A7661">
      <w:pPr>
        <w:numPr>
          <w:ilvl w:val="1"/>
          <w:numId w:val="21"/>
        </w:numPr>
        <w:rPr>
          <w:rFonts w:ascii="Times New Roman" w:hAnsi="Times New Roman" w:cs="Times New Roman"/>
        </w:rPr>
      </w:pPr>
      <w:r w:rsidRPr="004A7661">
        <w:rPr>
          <w:rFonts w:ascii="Times New Roman" w:hAnsi="Times New Roman" w:cs="Times New Roman"/>
        </w:rPr>
        <w:t>Lack of adherence to quality standards may be considered as a factor when deviation from generally accepted national quality standards for a specific disease category occurs more than 30% of the time based on clinical chart reviews</w:t>
      </w:r>
      <w:r w:rsidR="00220F9E">
        <w:rPr>
          <w:rFonts w:ascii="Times New Roman" w:hAnsi="Times New Roman" w:cs="Times New Roman"/>
        </w:rPr>
        <w:t>;</w:t>
      </w:r>
      <w:r w:rsidRPr="004A7661">
        <w:rPr>
          <w:rFonts w:ascii="Times New Roman" w:hAnsi="Times New Roman" w:cs="Times New Roman"/>
        </w:rPr>
        <w:t xml:space="preserve"> </w:t>
      </w:r>
    </w:p>
    <w:p w14:paraId="152847D7" w14:textId="28F916BE" w:rsidR="004A7661" w:rsidRPr="004A7661" w:rsidRDefault="004A7661" w:rsidP="004A7661">
      <w:pPr>
        <w:numPr>
          <w:ilvl w:val="1"/>
          <w:numId w:val="21"/>
        </w:numPr>
        <w:rPr>
          <w:rFonts w:ascii="Times New Roman" w:hAnsi="Times New Roman" w:cs="Times New Roman"/>
        </w:rPr>
      </w:pPr>
      <w:r w:rsidRPr="004A7661">
        <w:rPr>
          <w:rFonts w:ascii="Times New Roman" w:hAnsi="Times New Roman" w:cs="Times New Roman"/>
        </w:rPr>
        <w:t>High level of variation in length of stay may be considered as a factor when claims data shows that 25% of patients stayed longer than the median length of stay for acute hospital episodes of care</w:t>
      </w:r>
      <w:r w:rsidR="00220F9E">
        <w:rPr>
          <w:rFonts w:ascii="Times New Roman" w:hAnsi="Times New Roman" w:cs="Times New Roman"/>
        </w:rPr>
        <w:t>;</w:t>
      </w:r>
      <w:r w:rsidRPr="004A7661">
        <w:rPr>
          <w:rFonts w:ascii="Times New Roman" w:hAnsi="Times New Roman" w:cs="Times New Roman"/>
        </w:rPr>
        <w:t xml:space="preserve"> </w:t>
      </w:r>
    </w:p>
    <w:p w14:paraId="4558AD71" w14:textId="4ED55D45" w:rsidR="004A7661" w:rsidRPr="004A7661" w:rsidRDefault="004A7661" w:rsidP="004A7661">
      <w:pPr>
        <w:numPr>
          <w:ilvl w:val="1"/>
          <w:numId w:val="21"/>
        </w:numPr>
        <w:rPr>
          <w:rFonts w:ascii="Times New Roman" w:hAnsi="Times New Roman" w:cs="Times New Roman"/>
        </w:rPr>
      </w:pPr>
      <w:r w:rsidRPr="004A7661">
        <w:rPr>
          <w:rFonts w:ascii="Times New Roman" w:hAnsi="Times New Roman" w:cs="Times New Roman"/>
        </w:rPr>
        <w:t>High variability in cost per episode may be considered as a factor when episodes of outpatient care are two standard deviations higher in total cost than the average cost per episode 20 percent of the time in a 12-month period</w:t>
      </w:r>
      <w:r w:rsidR="00220F9E">
        <w:rPr>
          <w:rFonts w:ascii="Times New Roman" w:hAnsi="Times New Roman" w:cs="Times New Roman"/>
        </w:rPr>
        <w:t>;</w:t>
      </w:r>
      <w:r w:rsidRPr="004A7661">
        <w:rPr>
          <w:rFonts w:ascii="Times New Roman" w:hAnsi="Times New Roman" w:cs="Times New Roman"/>
        </w:rPr>
        <w:t xml:space="preserve"> </w:t>
      </w:r>
    </w:p>
    <w:p w14:paraId="76029393" w14:textId="77777777" w:rsidR="004A7661" w:rsidRPr="004A7661" w:rsidRDefault="004A7661" w:rsidP="004A7661">
      <w:pPr>
        <w:numPr>
          <w:ilvl w:val="1"/>
          <w:numId w:val="21"/>
        </w:numPr>
        <w:rPr>
          <w:rFonts w:ascii="Times New Roman" w:hAnsi="Times New Roman" w:cs="Times New Roman"/>
        </w:rPr>
      </w:pPr>
      <w:r w:rsidRPr="004A7661">
        <w:rPr>
          <w:rFonts w:ascii="Times New Roman" w:hAnsi="Times New Roman" w:cs="Times New Roman"/>
        </w:rPr>
        <w:t>Lack of clinical efficacy may be considered as a factor when more than 50 percent of outpatient episodes of care for specific diseases are not based on evidence-based interventions (as defined by nationally accepted best practices) in a 12-month sample of claims data.</w:t>
      </w:r>
    </w:p>
    <w:p w14:paraId="4133D9B2" w14:textId="3FFDBBF8" w:rsidR="004A7661" w:rsidRPr="004A7661" w:rsidRDefault="004A7661" w:rsidP="004A7661">
      <w:pPr>
        <w:ind w:left="720" w:hanging="270"/>
        <w:rPr>
          <w:rFonts w:ascii="Times New Roman" w:hAnsi="Times New Roman" w:cs="Times New Roman"/>
        </w:rPr>
      </w:pPr>
      <w:r w:rsidRPr="004A7661">
        <w:rPr>
          <w:rFonts w:ascii="Segoe UI Symbol" w:hAnsi="Segoe UI Symbol" w:cs="Segoe UI Symbol"/>
        </w:rPr>
        <w:t>⮚</w:t>
      </w:r>
      <w:r w:rsidRPr="004A7661">
        <w:rPr>
          <w:rFonts w:ascii="Times New Roman" w:hAnsi="Times New Roman" w:cs="Times New Roman"/>
        </w:rPr>
        <w:tab/>
        <w:t>If specific thresholds are not used to determine when the factor will implicate the NQTL, a specific, detailed, and reasoned explanation of how the carrier ensures the factors are being applied comparably and no more stringently to MH/SUD services must be provided.</w:t>
      </w:r>
    </w:p>
    <w:p w14:paraId="7E64EB5D" w14:textId="240A72A0" w:rsidR="007C37E4" w:rsidRPr="00DA0573" w:rsidRDefault="007C37E4" w:rsidP="007C37E4">
      <w:pPr>
        <w:numPr>
          <w:ilvl w:val="0"/>
          <w:numId w:val="3"/>
        </w:numPr>
        <w:rPr>
          <w:rFonts w:ascii="Times New Roman" w:hAnsi="Times New Roman" w:cs="Times New Roman"/>
        </w:rPr>
      </w:pPr>
      <w:r w:rsidRPr="00DA0573">
        <w:rPr>
          <w:rFonts w:ascii="Times New Roman" w:hAnsi="Times New Roman" w:cs="Times New Roman"/>
        </w:rPr>
        <w:t xml:space="preserve">Evidentiary standards and processes that </w:t>
      </w:r>
      <w:r w:rsidR="0051531B">
        <w:rPr>
          <w:rFonts w:ascii="Times New Roman" w:hAnsi="Times New Roman" w:cs="Times New Roman"/>
        </w:rPr>
        <w:t>a carrier</w:t>
      </w:r>
      <w:r w:rsidRPr="00DA0573">
        <w:rPr>
          <w:rFonts w:ascii="Times New Roman" w:hAnsi="Times New Roman" w:cs="Times New Roman"/>
        </w:rPr>
        <w:t xml:space="preserve"> relies on may include any evidence that </w:t>
      </w:r>
      <w:r w:rsidR="0051531B">
        <w:rPr>
          <w:rFonts w:ascii="Times New Roman" w:hAnsi="Times New Roman" w:cs="Times New Roman"/>
        </w:rPr>
        <w:t>a carrier</w:t>
      </w:r>
      <w:r w:rsidRPr="00DA0573">
        <w:rPr>
          <w:rFonts w:ascii="Times New Roman" w:hAnsi="Times New Roman" w:cs="Times New Roman"/>
        </w:rPr>
        <w:t xml:space="preserve"> considers in developing its medical management techniques, including internal carrier standards, recognized medical literature and professional standards and protocols (such as comparative effectiveness studies and clinical trials), published research studies, treatment guidelines created by professional medical associations or other third-party entities, publicly available or proprietary clinical definitions, and outcome metrics from consulting or other organizations.</w:t>
      </w:r>
    </w:p>
    <w:p w14:paraId="76C30E8E" w14:textId="6BDFC537" w:rsidR="00C10A31" w:rsidRPr="00DA0573" w:rsidRDefault="005D3400" w:rsidP="004A6D31">
      <w:pPr>
        <w:numPr>
          <w:ilvl w:val="0"/>
          <w:numId w:val="3"/>
        </w:numPr>
        <w:rPr>
          <w:rFonts w:ascii="Times New Roman" w:hAnsi="Times New Roman" w:cs="Times New Roman"/>
        </w:rPr>
      </w:pPr>
      <w:r w:rsidRPr="00DA0573">
        <w:rPr>
          <w:rFonts w:ascii="Times New Roman" w:hAnsi="Times New Roman" w:cs="Times New Roman"/>
        </w:rPr>
        <w:t xml:space="preserve">Explain comparability of how the factors are defined and applied between MH/SUD and M/S services </w:t>
      </w:r>
      <w:r w:rsidR="0001421A" w:rsidRPr="00DA0573">
        <w:rPr>
          <w:rFonts w:ascii="Times New Roman" w:hAnsi="Times New Roman" w:cs="Times New Roman"/>
        </w:rPr>
        <w:t>(</w:t>
      </w:r>
      <w:r w:rsidRPr="00DA0573">
        <w:rPr>
          <w:rFonts w:ascii="Times New Roman" w:hAnsi="Times New Roman" w:cs="Times New Roman"/>
        </w:rPr>
        <w:t>i.e., clearly delineate and explain any differences in factors, definitions of factors, or evidentiary standards used to determine application of the NQTL, and provide an explanation as to why and/or how the factors, definitions of factors, and evidentiary standards are deemed comparable</w:t>
      </w:r>
      <w:r w:rsidR="0001421A" w:rsidRPr="00DA0573">
        <w:rPr>
          <w:rFonts w:ascii="Times New Roman" w:hAnsi="Times New Roman" w:cs="Times New Roman"/>
        </w:rPr>
        <w:t>)</w:t>
      </w:r>
      <w:r w:rsidRPr="00DA0573">
        <w:rPr>
          <w:rFonts w:ascii="Times New Roman" w:hAnsi="Times New Roman" w:cs="Times New Roman"/>
        </w:rPr>
        <w:t>.</w:t>
      </w:r>
    </w:p>
    <w:p w14:paraId="1E1663A1" w14:textId="3A812CC0" w:rsidR="00AD6337" w:rsidRPr="00182956" w:rsidRDefault="00AD6337" w:rsidP="00182956">
      <w:pPr>
        <w:numPr>
          <w:ilvl w:val="0"/>
          <w:numId w:val="3"/>
        </w:numPr>
        <w:rPr>
          <w:rFonts w:ascii="Times New Roman" w:hAnsi="Times New Roman" w:cs="Times New Roman"/>
        </w:rPr>
      </w:pPr>
      <w:r w:rsidRPr="00182956">
        <w:rPr>
          <w:rFonts w:ascii="Times New Roman" w:hAnsi="Times New Roman" w:cs="Times New Roman"/>
        </w:rPr>
        <w:t>If a source such as NCQA is used in determining comparability</w:t>
      </w:r>
      <w:r w:rsidR="00182956">
        <w:rPr>
          <w:rFonts w:ascii="Times New Roman" w:hAnsi="Times New Roman" w:cs="Times New Roman"/>
        </w:rPr>
        <w:t>,</w:t>
      </w:r>
      <w:r w:rsidRPr="00182956">
        <w:rPr>
          <w:rFonts w:ascii="Times New Roman" w:hAnsi="Times New Roman" w:cs="Times New Roman"/>
        </w:rPr>
        <w:t xml:space="preserve"> the </w:t>
      </w:r>
      <w:r w:rsidR="007B2E83" w:rsidRPr="00182956">
        <w:rPr>
          <w:rFonts w:ascii="Times New Roman" w:hAnsi="Times New Roman" w:cs="Times New Roman"/>
        </w:rPr>
        <w:t>s</w:t>
      </w:r>
      <w:r w:rsidR="00182956">
        <w:rPr>
          <w:rFonts w:ascii="Times New Roman" w:hAnsi="Times New Roman" w:cs="Times New Roman"/>
        </w:rPr>
        <w:t xml:space="preserve">tandards </w:t>
      </w:r>
      <w:r w:rsidRPr="00182956">
        <w:rPr>
          <w:rFonts w:ascii="Times New Roman" w:hAnsi="Times New Roman" w:cs="Times New Roman"/>
        </w:rPr>
        <w:t xml:space="preserve">for that source and any analyses developed internally or provided to </w:t>
      </w:r>
      <w:r w:rsidR="00C74ADA" w:rsidRPr="00182956">
        <w:rPr>
          <w:rFonts w:ascii="Times New Roman" w:hAnsi="Times New Roman" w:cs="Times New Roman"/>
        </w:rPr>
        <w:t xml:space="preserve">NCQA or other external agencies </w:t>
      </w:r>
      <w:r w:rsidR="007B2E83" w:rsidRPr="00182956">
        <w:rPr>
          <w:rFonts w:ascii="Times New Roman" w:hAnsi="Times New Roman" w:cs="Times New Roman"/>
        </w:rPr>
        <w:t xml:space="preserve">must </w:t>
      </w:r>
      <w:r w:rsidR="00C74ADA" w:rsidRPr="00182956">
        <w:rPr>
          <w:rFonts w:ascii="Times New Roman" w:hAnsi="Times New Roman" w:cs="Times New Roman"/>
        </w:rPr>
        <w:t xml:space="preserve">be provided.    </w:t>
      </w:r>
      <w:r w:rsidRPr="00182956">
        <w:rPr>
          <w:rFonts w:ascii="Times New Roman" w:hAnsi="Times New Roman" w:cs="Times New Roman"/>
        </w:rPr>
        <w:t xml:space="preserve"> </w:t>
      </w:r>
    </w:p>
    <w:p w14:paraId="5CDC05B0" w14:textId="687E3C54" w:rsidR="00766625" w:rsidRDefault="00766625" w:rsidP="004A6D31">
      <w:pPr>
        <w:numPr>
          <w:ilvl w:val="0"/>
          <w:numId w:val="3"/>
        </w:numPr>
        <w:rPr>
          <w:rFonts w:ascii="Times New Roman" w:hAnsi="Times New Roman" w:cs="Times New Roman"/>
        </w:rPr>
      </w:pPr>
      <w:r>
        <w:rPr>
          <w:rFonts w:ascii="Times New Roman" w:hAnsi="Times New Roman" w:cs="Times New Roman"/>
        </w:rPr>
        <w:lastRenderedPageBreak/>
        <w:t xml:space="preserve">Failure to include all of the information </w:t>
      </w:r>
      <w:r w:rsidR="00435146">
        <w:rPr>
          <w:rFonts w:ascii="Times New Roman" w:hAnsi="Times New Roman" w:cs="Times New Roman"/>
        </w:rPr>
        <w:t xml:space="preserve">described </w:t>
      </w:r>
      <w:r w:rsidR="00E72CE4">
        <w:rPr>
          <w:rFonts w:ascii="Times New Roman" w:hAnsi="Times New Roman" w:cs="Times New Roman"/>
        </w:rPr>
        <w:t>in the instructions</w:t>
      </w:r>
      <w:r w:rsidR="00435146">
        <w:rPr>
          <w:rFonts w:ascii="Times New Roman" w:hAnsi="Times New Roman" w:cs="Times New Roman"/>
        </w:rPr>
        <w:t xml:space="preserve"> for Step 3 will </w:t>
      </w:r>
      <w:r w:rsidR="00435146" w:rsidRPr="00DA0573">
        <w:rPr>
          <w:rFonts w:ascii="Times New Roman" w:hAnsi="Times New Roman" w:cs="Times New Roman"/>
        </w:rPr>
        <w:t>result in a finding that a carrier failed to submit a complete analysis repor</w:t>
      </w:r>
      <w:r w:rsidR="00435146">
        <w:rPr>
          <w:rFonts w:ascii="Times New Roman" w:hAnsi="Times New Roman" w:cs="Times New Roman"/>
        </w:rPr>
        <w:t xml:space="preserve">t and </w:t>
      </w:r>
      <w:r w:rsidR="00435146" w:rsidRPr="00DA0573">
        <w:rPr>
          <w:rFonts w:ascii="Times New Roman" w:hAnsi="Times New Roman" w:cs="Times New Roman"/>
        </w:rPr>
        <w:t>may result in administrative penalties as specified in § 15-144 of the Insurance Article</w:t>
      </w:r>
      <w:r w:rsidR="00435146">
        <w:rPr>
          <w:rFonts w:ascii="Times New Roman" w:hAnsi="Times New Roman" w:cs="Times New Roman"/>
        </w:rPr>
        <w:t>.</w:t>
      </w:r>
    </w:p>
    <w:p w14:paraId="41210495" w14:textId="56D526B5" w:rsidR="001E12D9" w:rsidRPr="00DA0573" w:rsidRDefault="00306FE3" w:rsidP="00DA0573">
      <w:pPr>
        <w:spacing w:after="0" w:line="240" w:lineRule="auto"/>
        <w:rPr>
          <w:rFonts w:ascii="Times New Roman" w:hAnsi="Times New Roman" w:cs="Times New Roman"/>
          <w:bCs/>
          <w:u w:val="single"/>
        </w:rPr>
      </w:pPr>
      <w:r w:rsidRPr="00DA0573">
        <w:rPr>
          <w:rFonts w:ascii="Times New Roman" w:hAnsi="Times New Roman" w:cs="Times New Roman"/>
          <w:bCs/>
          <w:u w:val="single"/>
        </w:rPr>
        <w:t>Step 4</w:t>
      </w:r>
      <w:r w:rsidR="001E12D9" w:rsidRPr="00DA0573">
        <w:rPr>
          <w:rFonts w:ascii="Times New Roman" w:hAnsi="Times New Roman" w:cs="Times New Roman"/>
          <w:bCs/>
          <w:u w:val="single"/>
        </w:rPr>
        <w:t>:</w:t>
      </w:r>
    </w:p>
    <w:p w14:paraId="236B1DF9" w14:textId="77777777" w:rsidR="001E12D9" w:rsidRDefault="001E12D9" w:rsidP="00DA0573">
      <w:pPr>
        <w:spacing w:after="0" w:line="240" w:lineRule="auto"/>
        <w:rPr>
          <w:rFonts w:ascii="Times New Roman" w:hAnsi="Times New Roman" w:cs="Times New Roman"/>
          <w:bCs/>
        </w:rPr>
      </w:pPr>
    </w:p>
    <w:p w14:paraId="3AE54669" w14:textId="64C76AAA" w:rsidR="001E12D9" w:rsidRPr="00DA0573" w:rsidRDefault="001E12D9" w:rsidP="001E12D9">
      <w:pPr>
        <w:spacing w:after="0" w:line="240" w:lineRule="auto"/>
        <w:rPr>
          <w:rFonts w:ascii="Times New Roman" w:hAnsi="Times New Roman" w:cs="Times New Roman"/>
        </w:rPr>
      </w:pPr>
      <w:r w:rsidRPr="00DA0573">
        <w:rPr>
          <w:rFonts w:ascii="Times New Roman" w:hAnsi="Times New Roman" w:cs="Times New Roman"/>
          <w:bCs/>
        </w:rPr>
        <w:t xml:space="preserve">Provide the comparative analyses </w:t>
      </w:r>
      <w:r w:rsidR="0097440A" w:rsidRPr="0097440A">
        <w:rPr>
          <w:rFonts w:ascii="Times New Roman" w:hAnsi="Times New Roman" w:cs="Times New Roman"/>
          <w:bCs/>
        </w:rPr>
        <w:t xml:space="preserve">performed and relied upon </w:t>
      </w:r>
      <w:r w:rsidRPr="00DA0573">
        <w:rPr>
          <w:rFonts w:ascii="Times New Roman" w:hAnsi="Times New Roman" w:cs="Times New Roman"/>
          <w:bCs/>
        </w:rPr>
        <w:t xml:space="preserve">to </w:t>
      </w:r>
      <w:r w:rsidR="00182956">
        <w:rPr>
          <w:rFonts w:ascii="Times New Roman" w:hAnsi="Times New Roman" w:cs="Times New Roman"/>
          <w:bCs/>
        </w:rPr>
        <w:t>determine whether</w:t>
      </w:r>
      <w:r w:rsidR="0097440A" w:rsidRPr="0097440A">
        <w:rPr>
          <w:rFonts w:ascii="Times New Roman" w:hAnsi="Times New Roman" w:cs="Times New Roman"/>
          <w:bCs/>
        </w:rPr>
        <w:t xml:space="preserve"> </w:t>
      </w:r>
      <w:r w:rsidR="0097440A">
        <w:rPr>
          <w:rFonts w:ascii="Times New Roman" w:hAnsi="Times New Roman" w:cs="Times New Roman"/>
          <w:bCs/>
        </w:rPr>
        <w:t>each</w:t>
      </w:r>
      <w:r w:rsidR="0097440A" w:rsidRPr="00DA0573">
        <w:rPr>
          <w:rFonts w:ascii="Times New Roman" w:hAnsi="Times New Roman" w:cs="Times New Roman"/>
          <w:bCs/>
        </w:rPr>
        <w:t xml:space="preserve"> </w:t>
      </w:r>
      <w:r w:rsidRPr="00DA0573">
        <w:rPr>
          <w:rFonts w:ascii="Times New Roman" w:hAnsi="Times New Roman" w:cs="Times New Roman"/>
          <w:bCs/>
        </w:rPr>
        <w:t xml:space="preserve">NQTL </w:t>
      </w:r>
      <w:r w:rsidR="0097440A">
        <w:rPr>
          <w:rFonts w:ascii="Times New Roman" w:hAnsi="Times New Roman" w:cs="Times New Roman"/>
          <w:bCs/>
        </w:rPr>
        <w:t>is</w:t>
      </w:r>
      <w:r w:rsidR="0097440A" w:rsidRPr="00DA0573">
        <w:rPr>
          <w:rFonts w:ascii="Times New Roman" w:hAnsi="Times New Roman" w:cs="Times New Roman"/>
          <w:bCs/>
        </w:rPr>
        <w:t xml:space="preserve"> </w:t>
      </w:r>
      <w:r w:rsidRPr="00DA0573">
        <w:rPr>
          <w:rFonts w:ascii="Times New Roman" w:hAnsi="Times New Roman" w:cs="Times New Roman"/>
          <w:bCs/>
        </w:rPr>
        <w:t xml:space="preserve">comparable to and no more stringently applied, </w:t>
      </w:r>
      <w:r w:rsidRPr="00DA0573">
        <w:rPr>
          <w:rFonts w:ascii="Times New Roman" w:hAnsi="Times New Roman" w:cs="Times New Roman"/>
          <w:bCs/>
          <w:u w:val="single"/>
        </w:rPr>
        <w:t>as written</w:t>
      </w:r>
      <w:r w:rsidR="000B29EF">
        <w:rPr>
          <w:rFonts w:ascii="Times New Roman" w:hAnsi="Times New Roman" w:cs="Times New Roman"/>
          <w:bCs/>
        </w:rPr>
        <w:t>.</w:t>
      </w:r>
      <w:r w:rsidR="000B29EF" w:rsidRPr="00DA0573">
        <w:rPr>
          <w:rFonts w:ascii="Times New Roman" w:hAnsi="Times New Roman" w:cs="Times New Roman"/>
          <w:bCs/>
        </w:rPr>
        <w:t xml:space="preserve"> </w:t>
      </w:r>
      <w:r w:rsidR="00C34A2A">
        <w:rPr>
          <w:rFonts w:ascii="Times New Roman" w:hAnsi="Times New Roman" w:cs="Times New Roman"/>
          <w:bCs/>
        </w:rPr>
        <w:t xml:space="preserve"> The comparative analyses shall include the</w:t>
      </w:r>
      <w:r w:rsidR="00C34A2A" w:rsidRPr="0097440A">
        <w:rPr>
          <w:rFonts w:ascii="Times New Roman" w:hAnsi="Times New Roman" w:cs="Times New Roman"/>
          <w:bCs/>
        </w:rPr>
        <w:t xml:space="preserve"> </w:t>
      </w:r>
      <w:r w:rsidR="00C34A2A" w:rsidRPr="00DA0573">
        <w:rPr>
          <w:rFonts w:ascii="Times New Roman" w:hAnsi="Times New Roman" w:cs="Times New Roman"/>
          <w:bCs/>
        </w:rPr>
        <w:t>results of any audits and reviews,</w:t>
      </w:r>
      <w:r w:rsidR="00C34A2A" w:rsidRPr="00DA0573">
        <w:rPr>
          <w:rFonts w:ascii="Times New Roman" w:hAnsi="Times New Roman" w:cs="Times New Roman"/>
        </w:rPr>
        <w:t xml:space="preserve"> </w:t>
      </w:r>
      <w:r w:rsidR="00C34A2A">
        <w:rPr>
          <w:rFonts w:ascii="Times New Roman" w:hAnsi="Times New Roman" w:cs="Times New Roman"/>
        </w:rPr>
        <w:t xml:space="preserve">and an explanation of the methodology. </w:t>
      </w:r>
      <w:r w:rsidRPr="00DA0573">
        <w:rPr>
          <w:rFonts w:ascii="Times New Roman" w:hAnsi="Times New Roman" w:cs="Times New Roman"/>
        </w:rPr>
        <w:t>(§15-144(e)(3)).</w:t>
      </w:r>
    </w:p>
    <w:p w14:paraId="3EF58818" w14:textId="77777777" w:rsidR="00306FE3" w:rsidRPr="00DA0573" w:rsidRDefault="00306FE3" w:rsidP="00DA0573">
      <w:pPr>
        <w:spacing w:after="0" w:line="240" w:lineRule="auto"/>
        <w:rPr>
          <w:rFonts w:ascii="Times New Roman" w:hAnsi="Times New Roman" w:cs="Times New Roman"/>
        </w:rPr>
      </w:pPr>
      <w:r w:rsidRPr="00DA0573">
        <w:rPr>
          <w:rFonts w:ascii="Times New Roman" w:hAnsi="Times New Roman" w:cs="Times New Roman"/>
          <w:bCs/>
        </w:rPr>
        <w:t> </w:t>
      </w:r>
    </w:p>
    <w:p w14:paraId="6C72D6E2" w14:textId="17A35F00" w:rsidR="00C10A31" w:rsidRPr="00DA0573" w:rsidRDefault="005D3400" w:rsidP="00435146">
      <w:pPr>
        <w:numPr>
          <w:ilvl w:val="0"/>
          <w:numId w:val="4"/>
        </w:numPr>
        <w:spacing w:line="240" w:lineRule="auto"/>
        <w:rPr>
          <w:rFonts w:ascii="Times New Roman" w:hAnsi="Times New Roman" w:cs="Times New Roman"/>
        </w:rPr>
      </w:pPr>
      <w:r w:rsidRPr="00DA0573">
        <w:rPr>
          <w:rFonts w:ascii="Times New Roman" w:hAnsi="Times New Roman" w:cs="Times New Roman"/>
        </w:rPr>
        <w:t xml:space="preserve">Indicate how the factors, as defined and explained by the evidentiary standards identified in Step 2 </w:t>
      </w:r>
      <w:r w:rsidR="00182956">
        <w:rPr>
          <w:rFonts w:ascii="Times New Roman" w:hAnsi="Times New Roman" w:cs="Times New Roman"/>
        </w:rPr>
        <w:t>and Step 3</w:t>
      </w:r>
      <w:r w:rsidRPr="00DA0573">
        <w:rPr>
          <w:rFonts w:ascii="Times New Roman" w:hAnsi="Times New Roman" w:cs="Times New Roman"/>
        </w:rPr>
        <w:t xml:space="preserve">, are applied comparably to establish the written policy as to which services, MH/SUD and M/S, are subject to the NQTL. </w:t>
      </w:r>
    </w:p>
    <w:p w14:paraId="0CAA97F6" w14:textId="583B791B" w:rsidR="00C10A31" w:rsidRPr="00DA0573" w:rsidRDefault="005D3400" w:rsidP="004A6D31">
      <w:pPr>
        <w:numPr>
          <w:ilvl w:val="0"/>
          <w:numId w:val="4"/>
        </w:numPr>
        <w:rPr>
          <w:rFonts w:ascii="Times New Roman" w:hAnsi="Times New Roman" w:cs="Times New Roman"/>
        </w:rPr>
      </w:pPr>
      <w:r w:rsidRPr="00DA0573">
        <w:rPr>
          <w:rFonts w:ascii="Times New Roman" w:hAnsi="Times New Roman" w:cs="Times New Roman"/>
        </w:rPr>
        <w:t>Include a brief description of each step, and comparative analysis, for the processes used in applying the NQTLs to MH/SUD and M/S services</w:t>
      </w:r>
      <w:r w:rsidR="00A95086" w:rsidRPr="00DA0573">
        <w:rPr>
          <w:rFonts w:ascii="Times New Roman" w:hAnsi="Times New Roman" w:cs="Times New Roman"/>
        </w:rPr>
        <w:t>, and demonstrate comparable and no more stringent application to MH/SUD services at each step</w:t>
      </w:r>
      <w:r w:rsidRPr="00DA0573">
        <w:rPr>
          <w:rFonts w:ascii="Times New Roman" w:hAnsi="Times New Roman" w:cs="Times New Roman"/>
        </w:rPr>
        <w:t>.</w:t>
      </w:r>
    </w:p>
    <w:p w14:paraId="7CA1F58B" w14:textId="0CE9964B" w:rsidR="005F6220" w:rsidRPr="00DA0573" w:rsidRDefault="005465BE" w:rsidP="005F6220">
      <w:pPr>
        <w:numPr>
          <w:ilvl w:val="0"/>
          <w:numId w:val="4"/>
        </w:numPr>
        <w:rPr>
          <w:rFonts w:ascii="Times New Roman" w:hAnsi="Times New Roman" w:cs="Times New Roman"/>
        </w:rPr>
      </w:pPr>
      <w:r w:rsidRPr="00DA0573">
        <w:rPr>
          <w:rFonts w:ascii="Times New Roman" w:hAnsi="Times New Roman" w:cs="Times New Roman"/>
        </w:rPr>
        <w:t xml:space="preserve">Include information on </w:t>
      </w:r>
      <w:r w:rsidR="005F6220" w:rsidRPr="00DA0573">
        <w:rPr>
          <w:rFonts w:ascii="Times New Roman" w:hAnsi="Times New Roman" w:cs="Times New Roman"/>
        </w:rPr>
        <w:t>the composition and deliber</w:t>
      </w:r>
      <w:r w:rsidRPr="00DA0573">
        <w:rPr>
          <w:rFonts w:ascii="Times New Roman" w:hAnsi="Times New Roman" w:cs="Times New Roman"/>
        </w:rPr>
        <w:t>ations of the decision-making staff</w:t>
      </w:r>
      <w:r w:rsidR="005F6220" w:rsidRPr="00DA0573">
        <w:rPr>
          <w:rFonts w:ascii="Times New Roman" w:hAnsi="Times New Roman" w:cs="Times New Roman"/>
        </w:rPr>
        <w:t xml:space="preserve"> </w:t>
      </w:r>
      <w:r w:rsidRPr="00DA0573">
        <w:rPr>
          <w:rFonts w:ascii="Times New Roman" w:hAnsi="Times New Roman" w:cs="Times New Roman"/>
        </w:rPr>
        <w:t>responsible for the written policies, including</w:t>
      </w:r>
      <w:r w:rsidR="005F6220" w:rsidRPr="00DA0573">
        <w:rPr>
          <w:rFonts w:ascii="Times New Roman" w:hAnsi="Times New Roman" w:cs="Times New Roman"/>
        </w:rPr>
        <w:t xml:space="preserve"> the number of staff members allocated, time allocated, qualifications of staff involved, breadth of sources and evidence considered, deviation from generally accepted standards of care, consultations with panels of experts, and reliance on national treatment guidelines or guidelines provided by third-party organizations.</w:t>
      </w:r>
    </w:p>
    <w:p w14:paraId="3421BE2C" w14:textId="0DF8BDC7" w:rsidR="00435146" w:rsidRPr="00E72CE4" w:rsidRDefault="003E783B" w:rsidP="00E72CE4">
      <w:pPr>
        <w:numPr>
          <w:ilvl w:val="0"/>
          <w:numId w:val="4"/>
        </w:numPr>
        <w:rPr>
          <w:rFonts w:ascii="Times New Roman" w:hAnsi="Times New Roman" w:cs="Times New Roman"/>
        </w:rPr>
      </w:pPr>
      <w:r w:rsidRPr="00DA0573">
        <w:rPr>
          <w:rFonts w:ascii="Times New Roman" w:hAnsi="Times New Roman" w:cs="Times New Roman"/>
        </w:rPr>
        <w:t xml:space="preserve">Demonstrate that there are not arbitrary or </w:t>
      </w:r>
      <w:r w:rsidR="004D34F7" w:rsidRPr="00DA0573">
        <w:rPr>
          <w:rFonts w:ascii="Times New Roman" w:hAnsi="Times New Roman" w:cs="Times New Roman"/>
        </w:rPr>
        <w:t xml:space="preserve">unfairly </w:t>
      </w:r>
      <w:r w:rsidRPr="00DA0573">
        <w:rPr>
          <w:rFonts w:ascii="Times New Roman" w:hAnsi="Times New Roman" w:cs="Times New Roman"/>
        </w:rPr>
        <w:t xml:space="preserve">discriminatory differences in </w:t>
      </w:r>
      <w:r w:rsidR="000F6847" w:rsidRPr="00DA0573">
        <w:rPr>
          <w:rFonts w:ascii="Times New Roman" w:hAnsi="Times New Roman" w:cs="Times New Roman"/>
        </w:rPr>
        <w:t>the written standards for applying</w:t>
      </w:r>
      <w:r w:rsidRPr="00DA0573">
        <w:rPr>
          <w:rFonts w:ascii="Times New Roman" w:hAnsi="Times New Roman" w:cs="Times New Roman"/>
        </w:rPr>
        <w:t xml:space="preserve"> underlying processes and strategies to NQTLs with respect to medical/surgical benefits versus MH/SUD benefits.</w:t>
      </w:r>
    </w:p>
    <w:p w14:paraId="4F13B405" w14:textId="38B26A72" w:rsidR="003E783B" w:rsidRPr="00DA0573" w:rsidRDefault="003E783B" w:rsidP="003E783B">
      <w:pPr>
        <w:numPr>
          <w:ilvl w:val="0"/>
          <w:numId w:val="4"/>
        </w:numPr>
        <w:tabs>
          <w:tab w:val="left" w:pos="1575"/>
        </w:tabs>
        <w:rPr>
          <w:rFonts w:ascii="Times New Roman" w:hAnsi="Times New Roman" w:cs="Times New Roman"/>
        </w:rPr>
      </w:pPr>
      <w:r w:rsidRPr="00DA0573">
        <w:rPr>
          <w:rFonts w:ascii="Times New Roman" w:hAnsi="Times New Roman" w:cs="Times New Roman"/>
        </w:rPr>
        <w:t xml:space="preserve">Examples of methods/analyses </w:t>
      </w:r>
      <w:r w:rsidR="004D34F7" w:rsidRPr="00DA0573">
        <w:rPr>
          <w:rFonts w:ascii="Times New Roman" w:hAnsi="Times New Roman" w:cs="Times New Roman"/>
        </w:rPr>
        <w:t xml:space="preserve">demonstrating </w:t>
      </w:r>
      <w:r w:rsidRPr="00DA0573">
        <w:rPr>
          <w:rFonts w:ascii="Times New Roman" w:hAnsi="Times New Roman" w:cs="Times New Roman"/>
        </w:rPr>
        <w:t>that factors, evidentiary standards, and processes are comparable</w:t>
      </w:r>
      <w:r w:rsidR="00653A39">
        <w:rPr>
          <w:rFonts w:ascii="Times New Roman" w:hAnsi="Times New Roman" w:cs="Times New Roman"/>
        </w:rPr>
        <w:t xml:space="preserve"> include, but are not limited to</w:t>
      </w:r>
      <w:r w:rsidRPr="00DA0573">
        <w:rPr>
          <w:rFonts w:ascii="Times New Roman" w:hAnsi="Times New Roman" w:cs="Times New Roman"/>
        </w:rPr>
        <w:t xml:space="preserve">: </w:t>
      </w:r>
    </w:p>
    <w:p w14:paraId="61C16C5B" w14:textId="533E6415" w:rsidR="003E783B" w:rsidRPr="00DA0573" w:rsidRDefault="003E783B" w:rsidP="003E783B">
      <w:pPr>
        <w:numPr>
          <w:ilvl w:val="1"/>
          <w:numId w:val="4"/>
        </w:numPr>
        <w:tabs>
          <w:tab w:val="left" w:pos="1575"/>
        </w:tabs>
        <w:rPr>
          <w:rFonts w:ascii="Times New Roman" w:hAnsi="Times New Roman" w:cs="Times New Roman"/>
        </w:rPr>
      </w:pPr>
      <w:r w:rsidRPr="00DA0573">
        <w:rPr>
          <w:rFonts w:ascii="Times New Roman" w:hAnsi="Times New Roman" w:cs="Times New Roman"/>
        </w:rPr>
        <w:t xml:space="preserve">Review of published literature on rapidly increasing cost for services for MH/SUD and medical/surgical conditions and a determination that a key factor(s) was present with similar frequency </w:t>
      </w:r>
      <w:r w:rsidR="005465BE" w:rsidRPr="00DA0573">
        <w:rPr>
          <w:rFonts w:ascii="Times New Roman" w:hAnsi="Times New Roman" w:cs="Times New Roman"/>
        </w:rPr>
        <w:t xml:space="preserve">and magnitude </w:t>
      </w:r>
      <w:r w:rsidRPr="00DA0573">
        <w:rPr>
          <w:rFonts w:ascii="Times New Roman" w:hAnsi="Times New Roman" w:cs="Times New Roman"/>
        </w:rPr>
        <w:t>with respect to specific MH/SUD and medical/surgical benefits subject to the NQTL</w:t>
      </w:r>
      <w:r w:rsidR="00653A39">
        <w:rPr>
          <w:rFonts w:ascii="Times New Roman" w:hAnsi="Times New Roman" w:cs="Times New Roman"/>
        </w:rPr>
        <w:t>;</w:t>
      </w:r>
      <w:r w:rsidRPr="00DA0573">
        <w:rPr>
          <w:rFonts w:ascii="Times New Roman" w:hAnsi="Times New Roman" w:cs="Times New Roman"/>
        </w:rPr>
        <w:t xml:space="preserve"> </w:t>
      </w:r>
    </w:p>
    <w:p w14:paraId="5466D9B7" w14:textId="6C15B767" w:rsidR="003E783B" w:rsidRPr="00DA0573" w:rsidRDefault="003E783B" w:rsidP="005F6EB8">
      <w:pPr>
        <w:numPr>
          <w:ilvl w:val="1"/>
          <w:numId w:val="4"/>
        </w:numPr>
        <w:tabs>
          <w:tab w:val="left" w:pos="1575"/>
        </w:tabs>
        <w:rPr>
          <w:rFonts w:ascii="Times New Roman" w:hAnsi="Times New Roman" w:cs="Times New Roman"/>
        </w:rPr>
      </w:pPr>
      <w:r w:rsidRPr="00DA0573">
        <w:rPr>
          <w:rFonts w:ascii="Times New Roman" w:hAnsi="Times New Roman" w:cs="Times New Roman"/>
        </w:rPr>
        <w:t xml:space="preserve">A consistent methodology </w:t>
      </w:r>
      <w:r w:rsidR="005F6EB8" w:rsidRPr="00DA0573">
        <w:rPr>
          <w:rFonts w:ascii="Times New Roman" w:hAnsi="Times New Roman" w:cs="Times New Roman"/>
        </w:rPr>
        <w:t xml:space="preserve">(e.g., internal claims analysis) </w:t>
      </w:r>
      <w:r w:rsidRPr="00DA0573">
        <w:rPr>
          <w:rFonts w:ascii="Times New Roman" w:hAnsi="Times New Roman" w:cs="Times New Roman"/>
        </w:rPr>
        <w:t xml:space="preserve">for analyzing which MH/SUD and medical/surgical benefits had “high cost variability” </w:t>
      </w:r>
      <w:r w:rsidR="005F6EB8" w:rsidRPr="00DA0573">
        <w:rPr>
          <w:rFonts w:ascii="Times New Roman" w:hAnsi="Times New Roman" w:cs="Times New Roman"/>
        </w:rPr>
        <w:t xml:space="preserve">(defined by identical factors and evidentiary standards for all services) </w:t>
      </w:r>
      <w:r w:rsidRPr="00DA0573">
        <w:rPr>
          <w:rFonts w:ascii="Times New Roman" w:hAnsi="Times New Roman" w:cs="Times New Roman"/>
        </w:rPr>
        <w:t>and were therefore subject to the NQTL</w:t>
      </w:r>
      <w:r w:rsidR="00653A39">
        <w:rPr>
          <w:rFonts w:ascii="Times New Roman" w:hAnsi="Times New Roman" w:cs="Times New Roman"/>
        </w:rPr>
        <w:t>;</w:t>
      </w:r>
      <w:r w:rsidRPr="00DA0573">
        <w:rPr>
          <w:rFonts w:ascii="Times New Roman" w:hAnsi="Times New Roman" w:cs="Times New Roman"/>
        </w:rPr>
        <w:t xml:space="preserve"> </w:t>
      </w:r>
    </w:p>
    <w:p w14:paraId="08BB2896" w14:textId="1F76F4DB" w:rsidR="003E783B" w:rsidRPr="00DA0573" w:rsidRDefault="003E783B" w:rsidP="003E783B">
      <w:pPr>
        <w:numPr>
          <w:ilvl w:val="1"/>
          <w:numId w:val="4"/>
        </w:numPr>
        <w:tabs>
          <w:tab w:val="left" w:pos="1575"/>
        </w:tabs>
        <w:rPr>
          <w:rFonts w:ascii="Times New Roman" w:hAnsi="Times New Roman" w:cs="Times New Roman"/>
        </w:rPr>
      </w:pPr>
      <w:r w:rsidRPr="00DA0573">
        <w:rPr>
          <w:rFonts w:ascii="Times New Roman" w:hAnsi="Times New Roman" w:cs="Times New Roman"/>
        </w:rPr>
        <w:t>Analysis that the methodology for setting usual and customary provider rates for both MH/SUD and medical/surgical benefits were</w:t>
      </w:r>
      <w:r w:rsidR="00BF5F89" w:rsidRPr="00DA0573">
        <w:rPr>
          <w:rFonts w:ascii="Times New Roman" w:hAnsi="Times New Roman" w:cs="Times New Roman"/>
        </w:rPr>
        <w:t xml:space="preserve"> the same, both as developed</w:t>
      </w:r>
      <w:r w:rsidR="005F6EB8" w:rsidRPr="00DA0573">
        <w:rPr>
          <w:rFonts w:ascii="Times New Roman" w:hAnsi="Times New Roman" w:cs="Times New Roman"/>
        </w:rPr>
        <w:t xml:space="preserve"> and applied</w:t>
      </w:r>
      <w:r w:rsidR="00653A39">
        <w:rPr>
          <w:rFonts w:ascii="Times New Roman" w:hAnsi="Times New Roman" w:cs="Times New Roman"/>
        </w:rPr>
        <w:t>;</w:t>
      </w:r>
      <w:r w:rsidRPr="00DA0573">
        <w:rPr>
          <w:rFonts w:ascii="Times New Roman" w:hAnsi="Times New Roman" w:cs="Times New Roman"/>
        </w:rPr>
        <w:t xml:space="preserve"> </w:t>
      </w:r>
    </w:p>
    <w:p w14:paraId="0F10B393" w14:textId="5433C206" w:rsidR="003E783B" w:rsidRPr="00DA0573" w:rsidRDefault="003E783B" w:rsidP="003E783B">
      <w:pPr>
        <w:numPr>
          <w:ilvl w:val="1"/>
          <w:numId w:val="4"/>
        </w:numPr>
        <w:tabs>
          <w:tab w:val="left" w:pos="1575"/>
        </w:tabs>
        <w:rPr>
          <w:rFonts w:ascii="Times New Roman" w:hAnsi="Times New Roman" w:cs="Times New Roman"/>
        </w:rPr>
      </w:pPr>
      <w:r w:rsidRPr="00DA0573">
        <w:rPr>
          <w:rFonts w:ascii="Times New Roman" w:hAnsi="Times New Roman" w:cs="Times New Roman"/>
        </w:rPr>
        <w:t>Internal Quality Control Reports showing that the factors, evidentiary standards and processes with respect to MH/SUD and medical surgical benefits are comparable</w:t>
      </w:r>
      <w:r w:rsidR="00263090" w:rsidRPr="00DA0573">
        <w:rPr>
          <w:rFonts w:ascii="Times New Roman" w:hAnsi="Times New Roman" w:cs="Times New Roman"/>
        </w:rPr>
        <w:t xml:space="preserve"> and no more stringently applied to MH/SUD benefits</w:t>
      </w:r>
      <w:r w:rsidR="00653A39">
        <w:rPr>
          <w:rFonts w:ascii="Times New Roman" w:hAnsi="Times New Roman" w:cs="Times New Roman"/>
        </w:rPr>
        <w:t>;</w:t>
      </w:r>
      <w:r w:rsidRPr="00DA0573">
        <w:rPr>
          <w:rFonts w:ascii="Times New Roman" w:hAnsi="Times New Roman" w:cs="Times New Roman"/>
        </w:rPr>
        <w:t xml:space="preserve"> </w:t>
      </w:r>
    </w:p>
    <w:p w14:paraId="684C382B" w14:textId="7D745D77" w:rsidR="003E783B" w:rsidRPr="00DA0573" w:rsidRDefault="003E783B" w:rsidP="00263090">
      <w:pPr>
        <w:numPr>
          <w:ilvl w:val="1"/>
          <w:numId w:val="4"/>
        </w:numPr>
        <w:tabs>
          <w:tab w:val="left" w:pos="1575"/>
        </w:tabs>
        <w:rPr>
          <w:rFonts w:ascii="Times New Roman" w:hAnsi="Times New Roman" w:cs="Times New Roman"/>
        </w:rPr>
      </w:pPr>
      <w:r w:rsidRPr="00DA0573">
        <w:rPr>
          <w:rFonts w:ascii="Times New Roman" w:hAnsi="Times New Roman" w:cs="Times New Roman"/>
        </w:rPr>
        <w:t>Summaries of research (e.g., clinical articles) considered in designing NQTLs for both MH/SUD and medical/surgical benefits, demonstrating that the research was similarly utilized for both MH/SUD and medical/surgical benefits</w:t>
      </w:r>
      <w:r w:rsidR="00653A39">
        <w:rPr>
          <w:rFonts w:ascii="Times New Roman" w:hAnsi="Times New Roman" w:cs="Times New Roman"/>
        </w:rPr>
        <w:t>;</w:t>
      </w:r>
    </w:p>
    <w:p w14:paraId="5C496854" w14:textId="7D364822" w:rsidR="009620BA" w:rsidRPr="00DA0573" w:rsidRDefault="009620BA" w:rsidP="009620BA">
      <w:pPr>
        <w:numPr>
          <w:ilvl w:val="1"/>
          <w:numId w:val="4"/>
        </w:numPr>
        <w:tabs>
          <w:tab w:val="left" w:pos="1575"/>
        </w:tabs>
        <w:rPr>
          <w:rFonts w:ascii="Times New Roman" w:hAnsi="Times New Roman" w:cs="Times New Roman"/>
        </w:rPr>
      </w:pPr>
      <w:r w:rsidRPr="00DA0573">
        <w:rPr>
          <w:rFonts w:ascii="Times New Roman" w:hAnsi="Times New Roman" w:cs="Times New Roman"/>
        </w:rPr>
        <w:lastRenderedPageBreak/>
        <w:t>Internal review of published treatment guidelines by appropriate clinical teams (with comparable compositions and qualifications for both MH/SUD and medical/surgical benefits) to identify (using comparable standards and thresholds for both MH/SUD and medical/surgical benefits) covered treatments or services which lack clinical efficacy</w:t>
      </w:r>
      <w:r w:rsidR="00653A39">
        <w:rPr>
          <w:rFonts w:ascii="Times New Roman" w:hAnsi="Times New Roman" w:cs="Times New Roman"/>
        </w:rPr>
        <w:t>;</w:t>
      </w:r>
    </w:p>
    <w:p w14:paraId="16DDA918" w14:textId="580C61F5" w:rsidR="009620BA" w:rsidRDefault="009620BA" w:rsidP="009620BA">
      <w:pPr>
        <w:numPr>
          <w:ilvl w:val="1"/>
          <w:numId w:val="4"/>
        </w:numPr>
        <w:tabs>
          <w:tab w:val="left" w:pos="1575"/>
        </w:tabs>
        <w:rPr>
          <w:rFonts w:ascii="Times New Roman" w:hAnsi="Times New Roman" w:cs="Times New Roman"/>
        </w:rPr>
      </w:pPr>
      <w:r w:rsidRPr="00DA0573">
        <w:rPr>
          <w:rFonts w:ascii="Times New Roman" w:hAnsi="Times New Roman" w:cs="Times New Roman"/>
        </w:rPr>
        <w:t xml:space="preserve">Internal review to determine that the </w:t>
      </w:r>
      <w:r w:rsidR="00A44F37" w:rsidRPr="00DA0573">
        <w:rPr>
          <w:rFonts w:ascii="Times New Roman" w:hAnsi="Times New Roman" w:cs="Times New Roman"/>
        </w:rPr>
        <w:t>carrier’s</w:t>
      </w:r>
      <w:r w:rsidRPr="00DA0573">
        <w:rPr>
          <w:rFonts w:ascii="Times New Roman" w:hAnsi="Times New Roman" w:cs="Times New Roman"/>
        </w:rPr>
        <w:t xml:space="preserve"> panel of experts that determine whether a treatment is medically appropriate were comprised of comparable experts for MH/SUD conditions and medical/surgical conditions, and that such experts</w:t>
      </w:r>
      <w:r w:rsidR="00A44F37" w:rsidRPr="00DA0573">
        <w:rPr>
          <w:rFonts w:ascii="Times New Roman" w:hAnsi="Times New Roman" w:cs="Times New Roman"/>
        </w:rPr>
        <w:t xml:space="preserve"> </w:t>
      </w:r>
      <w:r w:rsidRPr="00DA0573">
        <w:rPr>
          <w:rFonts w:ascii="Times New Roman" w:hAnsi="Times New Roman" w:cs="Times New Roman"/>
        </w:rPr>
        <w:t>evaluated and applied nationally-recognized treatment guidelines or other criteria in a comparable manner</w:t>
      </w:r>
      <w:r w:rsidR="00A44F37" w:rsidRPr="00DA0573">
        <w:rPr>
          <w:rFonts w:ascii="Times New Roman" w:hAnsi="Times New Roman" w:cs="Times New Roman"/>
        </w:rPr>
        <w:t>.</w:t>
      </w:r>
    </w:p>
    <w:p w14:paraId="6E16CD8A" w14:textId="5EB0D518" w:rsidR="00E72CE4" w:rsidRPr="00E72CE4" w:rsidRDefault="00E72CE4" w:rsidP="00E72CE4">
      <w:pPr>
        <w:pStyle w:val="ListParagraph"/>
        <w:numPr>
          <w:ilvl w:val="0"/>
          <w:numId w:val="44"/>
        </w:numPr>
        <w:tabs>
          <w:tab w:val="left" w:pos="1575"/>
        </w:tabs>
        <w:rPr>
          <w:rFonts w:ascii="Times New Roman" w:hAnsi="Times New Roman" w:cs="Times New Roman"/>
        </w:rPr>
      </w:pPr>
      <w:r>
        <w:rPr>
          <w:rFonts w:ascii="Times New Roman" w:hAnsi="Times New Roman" w:cs="Times New Roman"/>
        </w:rPr>
        <w:t xml:space="preserve">Failure to include all of the information described in the instructions for Step 4 will </w:t>
      </w:r>
      <w:r w:rsidRPr="00DA0573">
        <w:rPr>
          <w:rFonts w:ascii="Times New Roman" w:hAnsi="Times New Roman" w:cs="Times New Roman"/>
        </w:rPr>
        <w:t>result in a finding that a carrier failed to submit a complete analysis repor</w:t>
      </w:r>
      <w:r>
        <w:rPr>
          <w:rFonts w:ascii="Times New Roman" w:hAnsi="Times New Roman" w:cs="Times New Roman"/>
        </w:rPr>
        <w:t xml:space="preserve">t and </w:t>
      </w:r>
      <w:r w:rsidRPr="00DA0573">
        <w:rPr>
          <w:rFonts w:ascii="Times New Roman" w:hAnsi="Times New Roman" w:cs="Times New Roman"/>
        </w:rPr>
        <w:t>may result in administrative penalties as specified in § 15-144 of the Insurance Article</w:t>
      </w:r>
      <w:r>
        <w:rPr>
          <w:rFonts w:ascii="Times New Roman" w:hAnsi="Times New Roman" w:cs="Times New Roman"/>
        </w:rPr>
        <w:t>.</w:t>
      </w:r>
    </w:p>
    <w:p w14:paraId="753E7241" w14:textId="0430B8A6" w:rsidR="001E12D9" w:rsidRPr="00DA0573" w:rsidRDefault="00306FE3" w:rsidP="00306FE3">
      <w:pPr>
        <w:rPr>
          <w:rFonts w:ascii="Times New Roman" w:hAnsi="Times New Roman" w:cs="Times New Roman"/>
          <w:bCs/>
          <w:u w:val="single"/>
        </w:rPr>
      </w:pPr>
      <w:r w:rsidRPr="00DA0573">
        <w:rPr>
          <w:rFonts w:ascii="Times New Roman" w:hAnsi="Times New Roman" w:cs="Times New Roman"/>
          <w:bCs/>
          <w:u w:val="single"/>
        </w:rPr>
        <w:t>Step 5</w:t>
      </w:r>
      <w:r w:rsidR="001E12D9" w:rsidRPr="00DA0573">
        <w:rPr>
          <w:rFonts w:ascii="Times New Roman" w:hAnsi="Times New Roman" w:cs="Times New Roman"/>
          <w:bCs/>
          <w:u w:val="single"/>
        </w:rPr>
        <w:t>:</w:t>
      </w:r>
    </w:p>
    <w:p w14:paraId="656FBE54" w14:textId="6D1F1670" w:rsidR="00306FE3" w:rsidRPr="00DA0573" w:rsidRDefault="001E12D9" w:rsidP="00306FE3">
      <w:pPr>
        <w:rPr>
          <w:rFonts w:ascii="Times New Roman" w:hAnsi="Times New Roman" w:cs="Times New Roman"/>
        </w:rPr>
      </w:pPr>
      <w:r w:rsidRPr="00DA0573">
        <w:rPr>
          <w:rFonts w:ascii="Times New Roman" w:hAnsi="Times New Roman" w:cs="Times New Roman"/>
          <w:bCs/>
        </w:rPr>
        <w:t>Provide the comparative analyses</w:t>
      </w:r>
      <w:r w:rsidR="0097440A" w:rsidRPr="0097440A">
        <w:rPr>
          <w:rFonts w:ascii="Times New Roman" w:hAnsi="Times New Roman" w:cs="Times New Roman"/>
          <w:bCs/>
        </w:rPr>
        <w:t xml:space="preserve"> performed and relied upon</w:t>
      </w:r>
      <w:r w:rsidRPr="00DA0573">
        <w:rPr>
          <w:rFonts w:ascii="Times New Roman" w:hAnsi="Times New Roman" w:cs="Times New Roman"/>
          <w:bCs/>
        </w:rPr>
        <w:t xml:space="preserve"> to </w:t>
      </w:r>
      <w:r w:rsidR="0097440A" w:rsidRPr="0097440A">
        <w:rPr>
          <w:rFonts w:ascii="Times New Roman" w:hAnsi="Times New Roman" w:cs="Times New Roman"/>
          <w:bCs/>
        </w:rPr>
        <w:t xml:space="preserve">determine whether </w:t>
      </w:r>
      <w:r w:rsidR="0097440A">
        <w:rPr>
          <w:rFonts w:ascii="Times New Roman" w:hAnsi="Times New Roman" w:cs="Times New Roman"/>
          <w:bCs/>
        </w:rPr>
        <w:t>each</w:t>
      </w:r>
      <w:r w:rsidR="0097440A" w:rsidRPr="00DA0573">
        <w:rPr>
          <w:rFonts w:ascii="Times New Roman" w:hAnsi="Times New Roman" w:cs="Times New Roman"/>
          <w:bCs/>
        </w:rPr>
        <w:t xml:space="preserve"> </w:t>
      </w:r>
      <w:r w:rsidRPr="00DA0573">
        <w:rPr>
          <w:rFonts w:ascii="Times New Roman" w:hAnsi="Times New Roman" w:cs="Times New Roman"/>
          <w:bCs/>
        </w:rPr>
        <w:t xml:space="preserve">NQTL </w:t>
      </w:r>
      <w:r w:rsidR="0097440A">
        <w:rPr>
          <w:rFonts w:ascii="Times New Roman" w:hAnsi="Times New Roman" w:cs="Times New Roman"/>
          <w:bCs/>
        </w:rPr>
        <w:t>is</w:t>
      </w:r>
      <w:r w:rsidR="0097440A" w:rsidRPr="00DA0573">
        <w:rPr>
          <w:rFonts w:ascii="Times New Roman" w:hAnsi="Times New Roman" w:cs="Times New Roman"/>
          <w:bCs/>
        </w:rPr>
        <w:t xml:space="preserve"> </w:t>
      </w:r>
      <w:r w:rsidRPr="00DA0573">
        <w:rPr>
          <w:rFonts w:ascii="Times New Roman" w:hAnsi="Times New Roman" w:cs="Times New Roman"/>
          <w:bCs/>
        </w:rPr>
        <w:t xml:space="preserve">comparable to and no more stringently applied, </w:t>
      </w:r>
      <w:r w:rsidRPr="00DA0573">
        <w:rPr>
          <w:rFonts w:ascii="Times New Roman" w:hAnsi="Times New Roman" w:cs="Times New Roman"/>
          <w:bCs/>
          <w:u w:val="single"/>
        </w:rPr>
        <w:t>in operation</w:t>
      </w:r>
      <w:r w:rsidRPr="00DA0573">
        <w:rPr>
          <w:rFonts w:ascii="Times New Roman" w:hAnsi="Times New Roman" w:cs="Times New Roman"/>
          <w:bCs/>
        </w:rPr>
        <w:t>.</w:t>
      </w:r>
      <w:r w:rsidRPr="00DA0573">
        <w:rPr>
          <w:rFonts w:ascii="Times New Roman" w:hAnsi="Times New Roman" w:cs="Times New Roman"/>
        </w:rPr>
        <w:t xml:space="preserve"> </w:t>
      </w:r>
      <w:r w:rsidR="00125B76">
        <w:rPr>
          <w:rFonts w:ascii="Times New Roman" w:hAnsi="Times New Roman" w:cs="Times New Roman"/>
          <w:bCs/>
        </w:rPr>
        <w:t>The comparative analyses shall include the</w:t>
      </w:r>
      <w:r w:rsidR="00125B76" w:rsidRPr="0097440A">
        <w:rPr>
          <w:rFonts w:ascii="Times New Roman" w:hAnsi="Times New Roman" w:cs="Times New Roman"/>
          <w:bCs/>
        </w:rPr>
        <w:t xml:space="preserve"> </w:t>
      </w:r>
      <w:r w:rsidR="00125B76" w:rsidRPr="00DA0573">
        <w:rPr>
          <w:rFonts w:ascii="Times New Roman" w:hAnsi="Times New Roman" w:cs="Times New Roman"/>
          <w:bCs/>
        </w:rPr>
        <w:t>results of any audits and reviews,</w:t>
      </w:r>
      <w:r w:rsidR="00125B76" w:rsidRPr="00DA0573">
        <w:rPr>
          <w:rFonts w:ascii="Times New Roman" w:hAnsi="Times New Roman" w:cs="Times New Roman"/>
        </w:rPr>
        <w:t xml:space="preserve"> </w:t>
      </w:r>
      <w:r w:rsidR="00125B76">
        <w:rPr>
          <w:rFonts w:ascii="Times New Roman" w:hAnsi="Times New Roman" w:cs="Times New Roman"/>
        </w:rPr>
        <w:t>and an explanation of the methodology.</w:t>
      </w:r>
      <w:r w:rsidR="00125B76" w:rsidRPr="00DA0573">
        <w:rPr>
          <w:rFonts w:ascii="Times New Roman" w:hAnsi="Times New Roman" w:cs="Times New Roman"/>
        </w:rPr>
        <w:t xml:space="preserve"> </w:t>
      </w:r>
      <w:r w:rsidRPr="00DA0573">
        <w:rPr>
          <w:rFonts w:ascii="Times New Roman" w:hAnsi="Times New Roman" w:cs="Times New Roman"/>
        </w:rPr>
        <w:t>(§15-144(e)(4)).</w:t>
      </w:r>
      <w:r w:rsidR="00306FE3" w:rsidRPr="00DA0573">
        <w:rPr>
          <w:rFonts w:ascii="Times New Roman" w:hAnsi="Times New Roman" w:cs="Times New Roman"/>
          <w:bCs/>
        </w:rPr>
        <w:t> </w:t>
      </w:r>
    </w:p>
    <w:p w14:paraId="0AE57742" w14:textId="5C7AD57B" w:rsidR="00C10A31" w:rsidRPr="00DA0573" w:rsidRDefault="005D3400" w:rsidP="004A6D31">
      <w:pPr>
        <w:numPr>
          <w:ilvl w:val="0"/>
          <w:numId w:val="5"/>
        </w:numPr>
        <w:rPr>
          <w:rFonts w:ascii="Times New Roman" w:hAnsi="Times New Roman" w:cs="Times New Roman"/>
        </w:rPr>
      </w:pPr>
      <w:r w:rsidRPr="00DA0573">
        <w:rPr>
          <w:rFonts w:ascii="Times New Roman" w:hAnsi="Times New Roman" w:cs="Times New Roman"/>
        </w:rPr>
        <w:t xml:space="preserve">Provide the </w:t>
      </w:r>
      <w:r w:rsidR="00B131D9">
        <w:rPr>
          <w:rFonts w:ascii="Times New Roman" w:hAnsi="Times New Roman" w:cs="Times New Roman"/>
        </w:rPr>
        <w:t xml:space="preserve">Carrier’s </w:t>
      </w:r>
      <w:r w:rsidRPr="00DA0573">
        <w:rPr>
          <w:rFonts w:ascii="Times New Roman" w:hAnsi="Times New Roman" w:cs="Times New Roman"/>
        </w:rPr>
        <w:t xml:space="preserve">analyses </w:t>
      </w:r>
      <w:r w:rsidR="00B7011D">
        <w:rPr>
          <w:rFonts w:ascii="Times New Roman" w:hAnsi="Times New Roman" w:cs="Times New Roman"/>
        </w:rPr>
        <w:t>that</w:t>
      </w:r>
      <w:r w:rsidRPr="00DA0573">
        <w:rPr>
          <w:rFonts w:ascii="Times New Roman" w:hAnsi="Times New Roman" w:cs="Times New Roman"/>
        </w:rPr>
        <w:t xml:space="preserve"> demonstrate the comparability of the implementation of the written policies and procedures governing application of the NQTL.</w:t>
      </w:r>
    </w:p>
    <w:p w14:paraId="201CD12E" w14:textId="117442F9" w:rsidR="00C10A31" w:rsidRPr="00DA0573" w:rsidRDefault="005D3400" w:rsidP="004A6D31">
      <w:pPr>
        <w:numPr>
          <w:ilvl w:val="0"/>
          <w:numId w:val="5"/>
        </w:numPr>
        <w:rPr>
          <w:rFonts w:ascii="Times New Roman" w:hAnsi="Times New Roman" w:cs="Times New Roman"/>
        </w:rPr>
      </w:pPr>
      <w:r w:rsidRPr="00DA0573">
        <w:rPr>
          <w:rFonts w:ascii="Times New Roman" w:hAnsi="Times New Roman" w:cs="Times New Roman"/>
        </w:rPr>
        <w:t xml:space="preserve">The analyses should include discussion of quality assurance and oversight policies, processes and metrics that the plan applies to monitor in operation compliance.  Examples of information to include are results of comparative assessment of denial rates (both administrative and medical necessity) by service, reviews for correlation between basis for service denials and stated criteria, and internal and/or external appeals and overturn rates.  </w:t>
      </w:r>
    </w:p>
    <w:p w14:paraId="0C91A004" w14:textId="54CFF3FA" w:rsidR="00C10A31" w:rsidRDefault="005D3400" w:rsidP="004F6FF9">
      <w:pPr>
        <w:numPr>
          <w:ilvl w:val="0"/>
          <w:numId w:val="5"/>
        </w:numPr>
        <w:rPr>
          <w:rFonts w:ascii="Times New Roman" w:hAnsi="Times New Roman" w:cs="Times New Roman"/>
        </w:rPr>
      </w:pPr>
      <w:r w:rsidRPr="00DA0573">
        <w:rPr>
          <w:rFonts w:ascii="Times New Roman" w:hAnsi="Times New Roman" w:cs="Times New Roman"/>
          <w:b/>
          <w:bCs/>
        </w:rPr>
        <w:t>Note</w:t>
      </w:r>
      <w:r w:rsidRPr="00DA0573">
        <w:rPr>
          <w:rFonts w:ascii="Times New Roman" w:hAnsi="Times New Roman" w:cs="Times New Roman"/>
        </w:rPr>
        <w:t>: Disparate results or outcomes between MH/SUD and M/S services are not regarded as dispositive of parity noncompliance</w:t>
      </w:r>
      <w:r w:rsidR="00B7011D">
        <w:rPr>
          <w:rFonts w:ascii="Times New Roman" w:hAnsi="Times New Roman" w:cs="Times New Roman"/>
        </w:rPr>
        <w:t>; however, disparities constitute a warning sign or red flag of potential noncompliance and warrant further investigation</w:t>
      </w:r>
      <w:r w:rsidR="009B3180">
        <w:rPr>
          <w:rFonts w:ascii="Times New Roman" w:hAnsi="Times New Roman" w:cs="Times New Roman"/>
        </w:rPr>
        <w:t>.</w:t>
      </w:r>
      <w:r w:rsidR="00182956">
        <w:rPr>
          <w:rFonts w:ascii="Times New Roman" w:hAnsi="Times New Roman" w:cs="Times New Roman"/>
        </w:rPr>
        <w:t xml:space="preserve"> Conversely, equal</w:t>
      </w:r>
      <w:r w:rsidRPr="00DA0573">
        <w:rPr>
          <w:rFonts w:ascii="Times New Roman" w:hAnsi="Times New Roman" w:cs="Times New Roman"/>
        </w:rPr>
        <w:t xml:space="preserve"> or more favorable outcomes for MH/SUD services as compared to M/S</w:t>
      </w:r>
      <w:r w:rsidR="009B3180">
        <w:rPr>
          <w:rFonts w:ascii="Times New Roman" w:hAnsi="Times New Roman" w:cs="Times New Roman"/>
        </w:rPr>
        <w:t xml:space="preserve"> is a positive indicator; however, </w:t>
      </w:r>
      <w:r w:rsidRPr="00DA0573">
        <w:rPr>
          <w:rFonts w:ascii="Times New Roman" w:hAnsi="Times New Roman" w:cs="Times New Roman"/>
        </w:rPr>
        <w:t xml:space="preserve">is not </w:t>
      </w:r>
      <w:r w:rsidR="009B3180">
        <w:rPr>
          <w:rFonts w:ascii="Times New Roman" w:hAnsi="Times New Roman" w:cs="Times New Roman"/>
        </w:rPr>
        <w:t xml:space="preserve">necessarily </w:t>
      </w:r>
      <w:r w:rsidRPr="00DA0573">
        <w:rPr>
          <w:rFonts w:ascii="Times New Roman" w:hAnsi="Times New Roman" w:cs="Times New Roman"/>
        </w:rPr>
        <w:t>dispositive of parity compliance either.</w:t>
      </w:r>
    </w:p>
    <w:p w14:paraId="48CF9BC8" w14:textId="03F7A6B6" w:rsidR="00BE2452" w:rsidRPr="00DA0573" w:rsidRDefault="000A7497" w:rsidP="00E24D64">
      <w:pPr>
        <w:numPr>
          <w:ilvl w:val="0"/>
          <w:numId w:val="5"/>
        </w:numPr>
        <w:rPr>
          <w:rFonts w:ascii="Times New Roman" w:hAnsi="Times New Roman" w:cs="Times New Roman"/>
        </w:rPr>
      </w:pPr>
      <w:r>
        <w:rPr>
          <w:rFonts w:ascii="Times New Roman" w:hAnsi="Times New Roman" w:cs="Times New Roman"/>
        </w:rPr>
        <w:t>To ensure uniformity in reporting, t</w:t>
      </w:r>
      <w:r w:rsidR="00EB4FD5">
        <w:rPr>
          <w:rFonts w:ascii="Times New Roman" w:hAnsi="Times New Roman" w:cs="Times New Roman"/>
        </w:rPr>
        <w:t xml:space="preserve">he MIA may ask for data using the Medicare provider fee schedules as a </w:t>
      </w:r>
      <w:r w:rsidRPr="00EF00AE">
        <w:rPr>
          <w:rFonts w:ascii="Times New Roman" w:hAnsi="Times New Roman" w:cs="Times New Roman"/>
          <w:bCs/>
        </w:rPr>
        <w:t>metric to measure whether reimbursement rates are comparable</w:t>
      </w:r>
      <w:r w:rsidR="00EB4FD5">
        <w:rPr>
          <w:rFonts w:ascii="Times New Roman" w:hAnsi="Times New Roman" w:cs="Times New Roman"/>
        </w:rPr>
        <w:t>.</w:t>
      </w:r>
      <w:r>
        <w:rPr>
          <w:rFonts w:ascii="Times New Roman" w:hAnsi="Times New Roman" w:cs="Times New Roman"/>
        </w:rPr>
        <w:t xml:space="preserve">  Carriers may also provide other comparative data in addition to Medicare benchmark data to support the comparability analysis.</w:t>
      </w:r>
    </w:p>
    <w:p w14:paraId="19D675A1" w14:textId="77777777" w:rsidR="002B0BD7" w:rsidRPr="00E24D64" w:rsidRDefault="005E0F76" w:rsidP="00E24D64">
      <w:pPr>
        <w:pStyle w:val="ListParagraph"/>
        <w:numPr>
          <w:ilvl w:val="0"/>
          <w:numId w:val="5"/>
        </w:numPr>
        <w:rPr>
          <w:rFonts w:ascii="Times New Roman" w:hAnsi="Times New Roman" w:cs="Times New Roman"/>
        </w:rPr>
      </w:pPr>
      <w:r w:rsidRPr="00E24D64">
        <w:rPr>
          <w:rFonts w:ascii="Times New Roman" w:hAnsi="Times New Roman" w:cs="Times New Roman"/>
        </w:rPr>
        <w:t xml:space="preserve">Examples of </w:t>
      </w:r>
      <w:r w:rsidR="0066236B" w:rsidRPr="00E24D64">
        <w:rPr>
          <w:rFonts w:ascii="Times New Roman" w:hAnsi="Times New Roman" w:cs="Times New Roman"/>
        </w:rPr>
        <w:t>comparative analyses</w:t>
      </w:r>
      <w:r w:rsidR="00A31641" w:rsidRPr="00E24D64">
        <w:rPr>
          <w:rFonts w:ascii="Times New Roman" w:hAnsi="Times New Roman" w:cs="Times New Roman"/>
        </w:rPr>
        <w:t xml:space="preserve"> used to</w:t>
      </w:r>
      <w:r w:rsidR="0066236B" w:rsidRPr="00E24D64">
        <w:rPr>
          <w:rFonts w:ascii="Times New Roman" w:hAnsi="Times New Roman" w:cs="Times New Roman"/>
        </w:rPr>
        <w:t xml:space="preserve"> </w:t>
      </w:r>
      <w:r w:rsidR="00A31641" w:rsidRPr="00E24D64">
        <w:rPr>
          <w:rFonts w:ascii="Times New Roman" w:hAnsi="Times New Roman" w:cs="Times New Roman"/>
        </w:rPr>
        <w:t>con</w:t>
      </w:r>
      <w:r w:rsidR="0066236B" w:rsidRPr="00E24D64">
        <w:rPr>
          <w:rFonts w:ascii="Times New Roman" w:hAnsi="Times New Roman" w:cs="Times New Roman"/>
        </w:rPr>
        <w:t>clude</w:t>
      </w:r>
      <w:r w:rsidR="00A31641" w:rsidRPr="00E24D64">
        <w:rPr>
          <w:rFonts w:ascii="Times New Roman" w:hAnsi="Times New Roman" w:cs="Times New Roman"/>
        </w:rPr>
        <w:t xml:space="preserve"> that the NQTL is comparable to and no more stringently applied in operation include</w:t>
      </w:r>
      <w:r w:rsidR="0066236B" w:rsidRPr="00E24D64">
        <w:rPr>
          <w:rFonts w:ascii="Times New Roman" w:hAnsi="Times New Roman" w:cs="Times New Roman"/>
        </w:rPr>
        <w:t>, but are not limited to</w:t>
      </w:r>
      <w:r w:rsidR="00A31641" w:rsidRPr="00E24D64">
        <w:rPr>
          <w:rFonts w:ascii="Times New Roman" w:hAnsi="Times New Roman" w:cs="Times New Roman"/>
        </w:rPr>
        <w:t>:</w:t>
      </w:r>
    </w:p>
    <w:p w14:paraId="22CD7154" w14:textId="0DD1F83C" w:rsidR="00A31641" w:rsidRPr="00DA0573" w:rsidRDefault="00A31641" w:rsidP="00E24D64">
      <w:pPr>
        <w:numPr>
          <w:ilvl w:val="1"/>
          <w:numId w:val="47"/>
        </w:numPr>
        <w:rPr>
          <w:rFonts w:ascii="Times New Roman" w:hAnsi="Times New Roman" w:cs="Times New Roman"/>
        </w:rPr>
      </w:pPr>
      <w:r w:rsidRPr="00DA0573">
        <w:rPr>
          <w:rFonts w:ascii="Times New Roman" w:hAnsi="Times New Roman" w:cs="Times New Roman"/>
        </w:rPr>
        <w:t>Audit results that demonstrate that the frequency of all types of utilization review for medical/surgical vs. MH/SUD, where applicable, are comparable</w:t>
      </w:r>
      <w:r w:rsidR="00B131D9">
        <w:rPr>
          <w:rFonts w:ascii="Times New Roman" w:hAnsi="Times New Roman" w:cs="Times New Roman"/>
        </w:rPr>
        <w:t>;</w:t>
      </w:r>
      <w:r w:rsidRPr="00DA0573">
        <w:rPr>
          <w:rFonts w:ascii="Times New Roman" w:hAnsi="Times New Roman" w:cs="Times New Roman"/>
        </w:rPr>
        <w:t xml:space="preserve">  </w:t>
      </w:r>
    </w:p>
    <w:p w14:paraId="612F0F88" w14:textId="78059F82" w:rsidR="00A31641" w:rsidRPr="00DA0573" w:rsidRDefault="00A31641" w:rsidP="00E24D64">
      <w:pPr>
        <w:numPr>
          <w:ilvl w:val="1"/>
          <w:numId w:val="47"/>
        </w:numPr>
        <w:rPr>
          <w:rFonts w:ascii="Times New Roman" w:hAnsi="Times New Roman" w:cs="Times New Roman"/>
        </w:rPr>
      </w:pPr>
      <w:r w:rsidRPr="00DA0573">
        <w:rPr>
          <w:rFonts w:ascii="Times New Roman" w:hAnsi="Times New Roman" w:cs="Times New Roman"/>
        </w:rPr>
        <w:t>Audit results that demonstrate physician-to-physician utilization reviews for prior or continuing coverage authorization were similar in frequency and content (e.g., review intervals, length of time, documentation required, etc.) of review for medical/surgical vs. MH/SUD within the same classifications of benefits</w:t>
      </w:r>
      <w:r w:rsidR="00B131D9">
        <w:rPr>
          <w:rFonts w:ascii="Times New Roman" w:hAnsi="Times New Roman" w:cs="Times New Roman"/>
        </w:rPr>
        <w:t>;</w:t>
      </w:r>
      <w:r w:rsidRPr="00DA0573">
        <w:rPr>
          <w:rFonts w:ascii="Times New Roman" w:hAnsi="Times New Roman" w:cs="Times New Roman"/>
        </w:rPr>
        <w:t xml:space="preserve"> </w:t>
      </w:r>
    </w:p>
    <w:p w14:paraId="53289A4E" w14:textId="321076DA" w:rsidR="00A31641" w:rsidRPr="00DA0573" w:rsidRDefault="00A31641" w:rsidP="00E24D64">
      <w:pPr>
        <w:numPr>
          <w:ilvl w:val="1"/>
          <w:numId w:val="47"/>
        </w:numPr>
        <w:rPr>
          <w:rFonts w:ascii="Times New Roman" w:hAnsi="Times New Roman" w:cs="Times New Roman"/>
        </w:rPr>
      </w:pPr>
      <w:r w:rsidRPr="00DA0573">
        <w:rPr>
          <w:rFonts w:ascii="Times New Roman" w:hAnsi="Times New Roman" w:cs="Times New Roman"/>
        </w:rPr>
        <w:lastRenderedPageBreak/>
        <w:t>Audit results that demonstrate the process of consulting with expert reviewers for MH/ SUD medical necessity determinations is comparable to and no more stringent than the process of consulting with expert reviewers for medical/surgical medical necessity determinations, including the frequency of consultation with expert reviewers and qualifications of staff involved</w:t>
      </w:r>
      <w:r w:rsidR="00B131D9">
        <w:rPr>
          <w:rFonts w:ascii="Times New Roman" w:hAnsi="Times New Roman" w:cs="Times New Roman"/>
        </w:rPr>
        <w:t>;</w:t>
      </w:r>
      <w:r w:rsidRPr="00DA0573">
        <w:rPr>
          <w:rFonts w:ascii="Times New Roman" w:hAnsi="Times New Roman" w:cs="Times New Roman"/>
        </w:rPr>
        <w:t xml:space="preserve">  </w:t>
      </w:r>
    </w:p>
    <w:p w14:paraId="119D368A" w14:textId="6A9B606F" w:rsidR="00A31641" w:rsidRPr="00DA0573" w:rsidRDefault="00A31641" w:rsidP="00E24D64">
      <w:pPr>
        <w:numPr>
          <w:ilvl w:val="1"/>
          <w:numId w:val="47"/>
        </w:numPr>
        <w:rPr>
          <w:rFonts w:ascii="Times New Roman" w:hAnsi="Times New Roman" w:cs="Times New Roman"/>
        </w:rPr>
      </w:pPr>
      <w:r w:rsidRPr="00DA0573">
        <w:rPr>
          <w:rFonts w:ascii="Times New Roman" w:hAnsi="Times New Roman" w:cs="Times New Roman"/>
        </w:rPr>
        <w:t>Audit results that demonstrate utilization review staff follow comparable processes for determining which information is reasonably necessary for making medical necessity determinations for both MH/SUD reviews and medical/surgical reviews</w:t>
      </w:r>
      <w:r w:rsidR="00B131D9">
        <w:rPr>
          <w:rFonts w:ascii="Times New Roman" w:hAnsi="Times New Roman" w:cs="Times New Roman"/>
        </w:rPr>
        <w:t>;</w:t>
      </w:r>
      <w:r w:rsidRPr="00DA0573">
        <w:rPr>
          <w:rFonts w:ascii="Times New Roman" w:hAnsi="Times New Roman" w:cs="Times New Roman"/>
        </w:rPr>
        <w:t xml:space="preserve"> </w:t>
      </w:r>
    </w:p>
    <w:p w14:paraId="36467F0F" w14:textId="50F8AC19" w:rsidR="00A31641" w:rsidRPr="00DA0573" w:rsidRDefault="00A31641" w:rsidP="00E24D64">
      <w:pPr>
        <w:numPr>
          <w:ilvl w:val="1"/>
          <w:numId w:val="47"/>
        </w:numPr>
        <w:rPr>
          <w:rFonts w:ascii="Times New Roman" w:hAnsi="Times New Roman" w:cs="Times New Roman"/>
        </w:rPr>
      </w:pPr>
      <w:r w:rsidRPr="00DA0573">
        <w:rPr>
          <w:rFonts w:ascii="Times New Roman" w:hAnsi="Times New Roman" w:cs="Times New Roman"/>
        </w:rPr>
        <w:t>Audit results that demonstrate that frequency of and reason for reviews for the extension of initial determinations (e.g., outpatient visits or inpatient days) for MH/SUD benefits were comparable to the frequency of reviews for the extension of initial determinations for medical/surgical benefits</w:t>
      </w:r>
      <w:r w:rsidR="00B131D9">
        <w:rPr>
          <w:rFonts w:ascii="Times New Roman" w:hAnsi="Times New Roman" w:cs="Times New Roman"/>
        </w:rPr>
        <w:t>;</w:t>
      </w:r>
      <w:r w:rsidR="00B131D9" w:rsidRPr="00DA0573">
        <w:rPr>
          <w:rFonts w:ascii="Times New Roman" w:hAnsi="Times New Roman" w:cs="Times New Roman"/>
        </w:rPr>
        <w:t xml:space="preserve"> </w:t>
      </w:r>
    </w:p>
    <w:p w14:paraId="79B72428" w14:textId="68DF3480" w:rsidR="00A31641" w:rsidRPr="00DA0573" w:rsidRDefault="00A31641" w:rsidP="00E24D64">
      <w:pPr>
        <w:numPr>
          <w:ilvl w:val="1"/>
          <w:numId w:val="47"/>
        </w:numPr>
        <w:rPr>
          <w:rFonts w:ascii="Times New Roman" w:hAnsi="Times New Roman" w:cs="Times New Roman"/>
        </w:rPr>
      </w:pPr>
      <w:r w:rsidRPr="00DA0573">
        <w:rPr>
          <w:rFonts w:ascii="Times New Roman" w:hAnsi="Times New Roman" w:cs="Times New Roman"/>
        </w:rPr>
        <w:t>Audit results that demonstrate that reviews for the extension of initial determinations (e.g., outpatient visits or inpatient days) for MH/SUD benefits were of equivalent stringency to the reviews for the extension of initial determinations for medical/surgical benefits</w:t>
      </w:r>
      <w:r w:rsidR="00B131D9">
        <w:rPr>
          <w:rFonts w:ascii="Times New Roman" w:hAnsi="Times New Roman" w:cs="Times New Roman"/>
        </w:rPr>
        <w:t>;</w:t>
      </w:r>
      <w:r w:rsidRPr="00DA0573">
        <w:rPr>
          <w:rFonts w:ascii="Times New Roman" w:hAnsi="Times New Roman" w:cs="Times New Roman"/>
        </w:rPr>
        <w:t xml:space="preserve"> </w:t>
      </w:r>
    </w:p>
    <w:p w14:paraId="6AF51EBD" w14:textId="03B3262F" w:rsidR="004D34F7" w:rsidRPr="00DA0573" w:rsidRDefault="00A31641" w:rsidP="00E24D64">
      <w:pPr>
        <w:numPr>
          <w:ilvl w:val="1"/>
          <w:numId w:val="47"/>
        </w:numPr>
        <w:rPr>
          <w:rFonts w:ascii="Times New Roman" w:hAnsi="Times New Roman" w:cs="Times New Roman"/>
        </w:rPr>
      </w:pPr>
      <w:r w:rsidRPr="00DA0573">
        <w:rPr>
          <w:rFonts w:ascii="Times New Roman" w:hAnsi="Times New Roman" w:cs="Times New Roman"/>
        </w:rPr>
        <w:t>Audit/review of denial and appeal rates (both medical and administrative) by service type or benefit category</w:t>
      </w:r>
      <w:r w:rsidR="00B131D9">
        <w:rPr>
          <w:rFonts w:ascii="Times New Roman" w:hAnsi="Times New Roman" w:cs="Times New Roman"/>
        </w:rPr>
        <w:t>;</w:t>
      </w:r>
      <w:r w:rsidR="00B131D9" w:rsidRPr="00DA0573">
        <w:rPr>
          <w:rFonts w:ascii="Times New Roman" w:hAnsi="Times New Roman" w:cs="Times New Roman"/>
        </w:rPr>
        <w:t xml:space="preserve"> </w:t>
      </w:r>
    </w:p>
    <w:p w14:paraId="5F1DCB11" w14:textId="36A45F2E" w:rsidR="00A31641" w:rsidRPr="00DA0573" w:rsidRDefault="00A31641" w:rsidP="00E24D64">
      <w:pPr>
        <w:numPr>
          <w:ilvl w:val="1"/>
          <w:numId w:val="47"/>
        </w:numPr>
        <w:rPr>
          <w:rFonts w:ascii="Times New Roman" w:hAnsi="Times New Roman" w:cs="Times New Roman"/>
        </w:rPr>
      </w:pPr>
      <w:r w:rsidRPr="00DA0573">
        <w:rPr>
          <w:rFonts w:ascii="Times New Roman" w:hAnsi="Times New Roman" w:cs="Times New Roman"/>
        </w:rPr>
        <w:t>Audit/review of utilization review documentation requirements</w:t>
      </w:r>
      <w:r w:rsidR="00B131D9">
        <w:rPr>
          <w:rFonts w:ascii="Times New Roman" w:hAnsi="Times New Roman" w:cs="Times New Roman"/>
        </w:rPr>
        <w:t>;</w:t>
      </w:r>
      <w:r w:rsidRPr="00DA0573">
        <w:rPr>
          <w:rFonts w:ascii="Times New Roman" w:hAnsi="Times New Roman" w:cs="Times New Roman"/>
        </w:rPr>
        <w:t xml:space="preserve"> </w:t>
      </w:r>
    </w:p>
    <w:p w14:paraId="56751566" w14:textId="78CE0F2C" w:rsidR="00A31641" w:rsidRPr="00DA0573" w:rsidRDefault="00A31641" w:rsidP="00E24D64">
      <w:pPr>
        <w:numPr>
          <w:ilvl w:val="1"/>
          <w:numId w:val="47"/>
        </w:numPr>
        <w:rPr>
          <w:rFonts w:ascii="Times New Roman" w:hAnsi="Times New Roman" w:cs="Times New Roman"/>
        </w:rPr>
      </w:pPr>
      <w:r w:rsidRPr="00DA0573">
        <w:rPr>
          <w:rFonts w:ascii="Times New Roman" w:hAnsi="Times New Roman" w:cs="Times New Roman"/>
        </w:rPr>
        <w:t>Audit results that indicate that coverage approvals and denials correspond to the plan’s criteria and guidelines</w:t>
      </w:r>
      <w:r w:rsidR="00B131D9">
        <w:rPr>
          <w:rFonts w:ascii="Times New Roman" w:hAnsi="Times New Roman" w:cs="Times New Roman"/>
        </w:rPr>
        <w:t>;</w:t>
      </w:r>
    </w:p>
    <w:p w14:paraId="5B0185F7" w14:textId="3688C7F1" w:rsidR="00A31641" w:rsidRPr="00DA0573" w:rsidRDefault="00A31641" w:rsidP="00E24D64">
      <w:pPr>
        <w:numPr>
          <w:ilvl w:val="1"/>
          <w:numId w:val="47"/>
        </w:numPr>
        <w:rPr>
          <w:rFonts w:ascii="Times New Roman" w:hAnsi="Times New Roman" w:cs="Times New Roman"/>
        </w:rPr>
      </w:pPr>
      <w:r w:rsidRPr="00DA0573">
        <w:rPr>
          <w:rFonts w:ascii="Times New Roman" w:hAnsi="Times New Roman" w:cs="Times New Roman"/>
        </w:rPr>
        <w:t>A comparison of inter-rater reliability results between MH/SUD reviewers and medical/ surgical reviewers.</w:t>
      </w:r>
    </w:p>
    <w:p w14:paraId="6D3B6148" w14:textId="5E228041" w:rsidR="00A31641" w:rsidRPr="00DA0573" w:rsidRDefault="00A31641" w:rsidP="00E24D64">
      <w:pPr>
        <w:numPr>
          <w:ilvl w:val="1"/>
          <w:numId w:val="47"/>
        </w:numPr>
        <w:rPr>
          <w:rFonts w:ascii="Times New Roman" w:hAnsi="Times New Roman" w:cs="Times New Roman"/>
        </w:rPr>
      </w:pPr>
      <w:r w:rsidRPr="00DA0573">
        <w:rPr>
          <w:rFonts w:ascii="Times New Roman" w:hAnsi="Times New Roman" w:cs="Times New Roman"/>
        </w:rPr>
        <w:t>Analyses to determine whether out-of-network and emergency room utilization by beneficiaries for MH/SUD services are comparable to those for out-of-network utilization for similar types of medical services within each benefits classification</w:t>
      </w:r>
      <w:r w:rsidR="00B131D9">
        <w:rPr>
          <w:rFonts w:ascii="Times New Roman" w:hAnsi="Times New Roman" w:cs="Times New Roman"/>
        </w:rPr>
        <w:t>;</w:t>
      </w:r>
      <w:r w:rsidRPr="00DA0573">
        <w:rPr>
          <w:rFonts w:ascii="Times New Roman" w:hAnsi="Times New Roman" w:cs="Times New Roman"/>
        </w:rPr>
        <w:t xml:space="preserve"> </w:t>
      </w:r>
    </w:p>
    <w:p w14:paraId="365E81B8" w14:textId="126F956A" w:rsidR="003752BE" w:rsidRDefault="00A31641" w:rsidP="00E24D64">
      <w:pPr>
        <w:numPr>
          <w:ilvl w:val="1"/>
          <w:numId w:val="47"/>
        </w:numPr>
        <w:rPr>
          <w:rFonts w:ascii="Times New Roman" w:hAnsi="Times New Roman" w:cs="Times New Roman"/>
        </w:rPr>
      </w:pPr>
      <w:r w:rsidRPr="00DA0573">
        <w:rPr>
          <w:rFonts w:ascii="Times New Roman" w:hAnsi="Times New Roman" w:cs="Times New Roman"/>
        </w:rPr>
        <w:t>Analyses of provider in-network participation rates (e.g., wait times for appointments, volume of claims filed, types of services provided).</w:t>
      </w:r>
    </w:p>
    <w:p w14:paraId="5DC3C990" w14:textId="397823B2" w:rsidR="00AD6337" w:rsidRPr="00E72CE4" w:rsidRDefault="00E72CE4" w:rsidP="00E72CE4">
      <w:pPr>
        <w:pStyle w:val="ListParagraph"/>
        <w:numPr>
          <w:ilvl w:val="0"/>
          <w:numId w:val="43"/>
        </w:numPr>
        <w:rPr>
          <w:rFonts w:ascii="Times New Roman" w:hAnsi="Times New Roman" w:cs="Times New Roman"/>
        </w:rPr>
      </w:pPr>
      <w:r>
        <w:rPr>
          <w:rFonts w:ascii="Times New Roman" w:hAnsi="Times New Roman" w:cs="Times New Roman"/>
        </w:rPr>
        <w:t xml:space="preserve">Failure to include all of the information described in the instructions for Step 5 will </w:t>
      </w:r>
      <w:r w:rsidRPr="00DA0573">
        <w:rPr>
          <w:rFonts w:ascii="Times New Roman" w:hAnsi="Times New Roman" w:cs="Times New Roman"/>
        </w:rPr>
        <w:t>result in a finding that a carrier failed to submit a complete analysis repor</w:t>
      </w:r>
      <w:r>
        <w:rPr>
          <w:rFonts w:ascii="Times New Roman" w:hAnsi="Times New Roman" w:cs="Times New Roman"/>
        </w:rPr>
        <w:t xml:space="preserve">t and </w:t>
      </w:r>
      <w:r w:rsidRPr="00DA0573">
        <w:rPr>
          <w:rFonts w:ascii="Times New Roman" w:hAnsi="Times New Roman" w:cs="Times New Roman"/>
        </w:rPr>
        <w:t>may result in administrative penalties as specified in § 15-144 of the Insurance Article</w:t>
      </w:r>
      <w:r>
        <w:rPr>
          <w:rFonts w:ascii="Times New Roman" w:hAnsi="Times New Roman" w:cs="Times New Roman"/>
        </w:rPr>
        <w:t>.</w:t>
      </w:r>
      <w:r w:rsidR="00AD6337" w:rsidRPr="00E72CE4">
        <w:rPr>
          <w:rFonts w:ascii="Times New Roman" w:hAnsi="Times New Roman" w:cs="Times New Roman"/>
        </w:rPr>
        <w:t xml:space="preserve"> </w:t>
      </w:r>
    </w:p>
    <w:p w14:paraId="25218C03" w14:textId="7474F85A" w:rsidR="00E7769A" w:rsidRPr="00DA0573" w:rsidRDefault="001D6239" w:rsidP="001537A5">
      <w:pPr>
        <w:rPr>
          <w:rFonts w:ascii="Times New Roman" w:hAnsi="Times New Roman" w:cs="Times New Roman"/>
        </w:rPr>
      </w:pPr>
      <w:r w:rsidDel="001D6239">
        <w:rPr>
          <w:rFonts w:ascii="Times New Roman" w:hAnsi="Times New Roman" w:cs="Times New Roman"/>
          <w:b/>
          <w:bCs/>
        </w:rPr>
        <w:t xml:space="preserve"> </w:t>
      </w:r>
      <w:r w:rsidR="00991FEE">
        <w:rPr>
          <w:rFonts w:ascii="Times New Roman" w:hAnsi="Times New Roman" w:cs="Times New Roman"/>
          <w:b/>
          <w:bCs/>
        </w:rPr>
        <w:t xml:space="preserve">[See </w:t>
      </w:r>
      <w:r w:rsidR="009060D8">
        <w:rPr>
          <w:rFonts w:ascii="Times New Roman" w:hAnsi="Times New Roman" w:cs="Times New Roman"/>
          <w:b/>
          <w:bCs/>
        </w:rPr>
        <w:t>Data Supplements</w:t>
      </w:r>
      <w:r w:rsidR="00E7769A" w:rsidRPr="00DA0573">
        <w:rPr>
          <w:rFonts w:ascii="Times New Roman" w:hAnsi="Times New Roman" w:cs="Times New Roman"/>
          <w:b/>
          <w:bCs/>
        </w:rPr>
        <w:t xml:space="preserve"> </w:t>
      </w:r>
      <w:r w:rsidR="009060D8">
        <w:rPr>
          <w:rFonts w:ascii="Times New Roman" w:hAnsi="Times New Roman" w:cs="Times New Roman"/>
          <w:b/>
          <w:bCs/>
        </w:rPr>
        <w:t xml:space="preserve">1 </w:t>
      </w:r>
      <w:r w:rsidR="00E7769A" w:rsidRPr="00DA0573">
        <w:rPr>
          <w:rFonts w:ascii="Times New Roman" w:hAnsi="Times New Roman" w:cs="Times New Roman"/>
          <w:b/>
          <w:bCs/>
        </w:rPr>
        <w:t xml:space="preserve">– </w:t>
      </w:r>
      <w:r w:rsidR="009060D8">
        <w:rPr>
          <w:rFonts w:ascii="Times New Roman" w:hAnsi="Times New Roman" w:cs="Times New Roman"/>
          <w:b/>
          <w:bCs/>
        </w:rPr>
        <w:t>4</w:t>
      </w:r>
      <w:r w:rsidR="00BE63F0">
        <w:rPr>
          <w:rFonts w:ascii="Times New Roman" w:hAnsi="Times New Roman" w:cs="Times New Roman"/>
          <w:b/>
          <w:bCs/>
        </w:rPr>
        <w:t xml:space="preserve"> which contain requests for </w:t>
      </w:r>
      <w:r w:rsidR="00E72CE4">
        <w:rPr>
          <w:rFonts w:ascii="Times New Roman" w:hAnsi="Times New Roman" w:cs="Times New Roman"/>
          <w:b/>
          <w:bCs/>
        </w:rPr>
        <w:t xml:space="preserve">additional required </w:t>
      </w:r>
      <w:r w:rsidR="00991FEE">
        <w:rPr>
          <w:rFonts w:ascii="Times New Roman" w:hAnsi="Times New Roman" w:cs="Times New Roman"/>
          <w:b/>
          <w:bCs/>
        </w:rPr>
        <w:t xml:space="preserve">data </w:t>
      </w:r>
      <w:r w:rsidR="00E7769A" w:rsidRPr="00DA0573">
        <w:rPr>
          <w:rFonts w:ascii="Times New Roman" w:hAnsi="Times New Roman" w:cs="Times New Roman"/>
          <w:b/>
          <w:bCs/>
        </w:rPr>
        <w:t xml:space="preserve">to </w:t>
      </w:r>
      <w:r w:rsidR="00991FEE">
        <w:rPr>
          <w:rFonts w:ascii="Times New Roman" w:hAnsi="Times New Roman" w:cs="Times New Roman"/>
          <w:b/>
          <w:bCs/>
        </w:rPr>
        <w:t xml:space="preserve">supplement the responses </w:t>
      </w:r>
      <w:r w:rsidR="00E7769A" w:rsidRPr="00DA0573">
        <w:rPr>
          <w:rFonts w:ascii="Times New Roman" w:hAnsi="Times New Roman" w:cs="Times New Roman"/>
          <w:b/>
          <w:bCs/>
        </w:rPr>
        <w:t xml:space="preserve">provided in Step </w:t>
      </w:r>
      <w:r w:rsidR="00BE63F0">
        <w:rPr>
          <w:rFonts w:ascii="Times New Roman" w:hAnsi="Times New Roman" w:cs="Times New Roman"/>
          <w:b/>
          <w:bCs/>
        </w:rPr>
        <w:t xml:space="preserve">5 of the NQTL </w:t>
      </w:r>
      <w:r w:rsidR="00A16A71">
        <w:rPr>
          <w:rFonts w:ascii="Times New Roman" w:hAnsi="Times New Roman" w:cs="Times New Roman"/>
          <w:b/>
          <w:bCs/>
        </w:rPr>
        <w:t xml:space="preserve">Analysis </w:t>
      </w:r>
      <w:r w:rsidR="00BE63F0">
        <w:rPr>
          <w:rFonts w:ascii="Times New Roman" w:hAnsi="Times New Roman" w:cs="Times New Roman"/>
          <w:b/>
          <w:bCs/>
        </w:rPr>
        <w:t>Report</w:t>
      </w:r>
      <w:r w:rsidR="00E7769A" w:rsidRPr="00DA0573">
        <w:rPr>
          <w:rFonts w:ascii="Times New Roman" w:hAnsi="Times New Roman" w:cs="Times New Roman"/>
          <w:b/>
          <w:bCs/>
        </w:rPr>
        <w:t>.</w:t>
      </w:r>
      <w:r w:rsidR="00BE63F0">
        <w:rPr>
          <w:rFonts w:ascii="Times New Roman" w:hAnsi="Times New Roman" w:cs="Times New Roman"/>
          <w:b/>
          <w:bCs/>
        </w:rPr>
        <w:t>]</w:t>
      </w:r>
      <w:r w:rsidR="00E7769A" w:rsidRPr="00DA0573">
        <w:rPr>
          <w:rFonts w:ascii="Times New Roman" w:hAnsi="Times New Roman" w:cs="Times New Roman"/>
          <w:b/>
          <w:bCs/>
        </w:rPr>
        <w:t xml:space="preserve"> </w:t>
      </w:r>
    </w:p>
    <w:p w14:paraId="7DCC3F1A" w14:textId="2025C3F5" w:rsidR="00991FEE" w:rsidRPr="00DA0573" w:rsidRDefault="00306FE3" w:rsidP="00991FEE">
      <w:pPr>
        <w:spacing w:after="0" w:line="240" w:lineRule="auto"/>
        <w:rPr>
          <w:rFonts w:ascii="Times New Roman" w:hAnsi="Times New Roman" w:cs="Times New Roman"/>
          <w:bCs/>
          <w:u w:val="single"/>
        </w:rPr>
      </w:pPr>
      <w:r w:rsidRPr="00DA0573">
        <w:rPr>
          <w:rFonts w:ascii="Times New Roman" w:hAnsi="Times New Roman" w:cs="Times New Roman"/>
          <w:bCs/>
          <w:u w:val="single"/>
        </w:rPr>
        <w:t>Step 6</w:t>
      </w:r>
      <w:r w:rsidR="00991FEE" w:rsidRPr="00DA0573">
        <w:rPr>
          <w:rFonts w:ascii="Times New Roman" w:hAnsi="Times New Roman" w:cs="Times New Roman"/>
          <w:bCs/>
          <w:u w:val="single"/>
        </w:rPr>
        <w:t>:</w:t>
      </w:r>
    </w:p>
    <w:p w14:paraId="5E01473C" w14:textId="63DB54E2" w:rsidR="00991FEE" w:rsidRPr="00DA0573" w:rsidRDefault="00991FEE" w:rsidP="00991FEE">
      <w:pPr>
        <w:spacing w:after="0" w:line="240" w:lineRule="auto"/>
        <w:rPr>
          <w:rFonts w:ascii="Times New Roman" w:hAnsi="Times New Roman" w:cs="Times New Roman"/>
          <w:bCs/>
        </w:rPr>
      </w:pPr>
    </w:p>
    <w:p w14:paraId="28B2A46C" w14:textId="0B4BD23E" w:rsidR="00306FE3" w:rsidRPr="00DA0573" w:rsidRDefault="00991FEE" w:rsidP="00DA0573">
      <w:pPr>
        <w:spacing w:after="0" w:line="240" w:lineRule="auto"/>
        <w:rPr>
          <w:rFonts w:ascii="Times New Roman" w:hAnsi="Times New Roman" w:cs="Times New Roman"/>
        </w:rPr>
      </w:pPr>
      <w:r w:rsidRPr="00DA0573">
        <w:rPr>
          <w:rFonts w:ascii="Times New Roman" w:hAnsi="Times New Roman" w:cs="Times New Roman"/>
          <w:bCs/>
        </w:rPr>
        <w:t>Identify the measures used to ensure comparable design</w:t>
      </w:r>
      <w:r w:rsidR="0097440A">
        <w:rPr>
          <w:rFonts w:ascii="Times New Roman" w:hAnsi="Times New Roman" w:cs="Times New Roman"/>
          <w:bCs/>
        </w:rPr>
        <w:t>, development,</w:t>
      </w:r>
      <w:r w:rsidRPr="00DA0573">
        <w:rPr>
          <w:rFonts w:ascii="Times New Roman" w:hAnsi="Times New Roman" w:cs="Times New Roman"/>
          <w:bCs/>
        </w:rPr>
        <w:t xml:space="preserve"> and application of </w:t>
      </w:r>
      <w:r w:rsidR="0097440A">
        <w:rPr>
          <w:rFonts w:ascii="Times New Roman" w:hAnsi="Times New Roman" w:cs="Times New Roman"/>
          <w:bCs/>
        </w:rPr>
        <w:t xml:space="preserve">each </w:t>
      </w:r>
      <w:r w:rsidRPr="00DA0573">
        <w:rPr>
          <w:rFonts w:ascii="Times New Roman" w:hAnsi="Times New Roman" w:cs="Times New Roman"/>
          <w:bCs/>
        </w:rPr>
        <w:t xml:space="preserve">NQTL that </w:t>
      </w:r>
      <w:r w:rsidR="0097440A">
        <w:rPr>
          <w:rFonts w:ascii="Times New Roman" w:hAnsi="Times New Roman" w:cs="Times New Roman"/>
          <w:bCs/>
        </w:rPr>
        <w:t>is</w:t>
      </w:r>
      <w:r w:rsidR="0097440A" w:rsidRPr="00DA0573">
        <w:rPr>
          <w:rFonts w:ascii="Times New Roman" w:hAnsi="Times New Roman" w:cs="Times New Roman"/>
          <w:bCs/>
        </w:rPr>
        <w:t xml:space="preserve"> </w:t>
      </w:r>
      <w:r w:rsidRPr="00DA0573">
        <w:rPr>
          <w:rFonts w:ascii="Times New Roman" w:hAnsi="Times New Roman" w:cs="Times New Roman"/>
          <w:bCs/>
        </w:rPr>
        <w:t xml:space="preserve">implemented by the carrier and any entity delegated by the carrier to manage </w:t>
      </w:r>
      <w:r w:rsidR="0097440A">
        <w:rPr>
          <w:rFonts w:ascii="Times New Roman" w:hAnsi="Times New Roman" w:cs="Times New Roman"/>
          <w:bCs/>
        </w:rPr>
        <w:t>MH</w:t>
      </w:r>
      <w:r w:rsidRPr="00DA0573">
        <w:rPr>
          <w:rFonts w:ascii="Times New Roman" w:hAnsi="Times New Roman" w:cs="Times New Roman"/>
          <w:bCs/>
        </w:rPr>
        <w:t xml:space="preserve"> benefits, </w:t>
      </w:r>
      <w:r w:rsidR="0097440A">
        <w:rPr>
          <w:rFonts w:ascii="Times New Roman" w:hAnsi="Times New Roman" w:cs="Times New Roman"/>
          <w:bCs/>
        </w:rPr>
        <w:t>SUD</w:t>
      </w:r>
      <w:r w:rsidRPr="00DA0573">
        <w:rPr>
          <w:rFonts w:ascii="Times New Roman" w:hAnsi="Times New Roman" w:cs="Times New Roman"/>
          <w:bCs/>
        </w:rPr>
        <w:t xml:space="preserve"> benefits, or </w:t>
      </w:r>
      <w:r w:rsidR="0097440A">
        <w:rPr>
          <w:rFonts w:ascii="Times New Roman" w:hAnsi="Times New Roman" w:cs="Times New Roman"/>
          <w:bCs/>
        </w:rPr>
        <w:t>M/S</w:t>
      </w:r>
      <w:r w:rsidRPr="00DA0573">
        <w:rPr>
          <w:rFonts w:ascii="Times New Roman" w:hAnsi="Times New Roman" w:cs="Times New Roman"/>
          <w:bCs/>
        </w:rPr>
        <w:t xml:space="preserve"> benefits on behalf of the carrier.</w:t>
      </w:r>
      <w:r w:rsidRPr="00DA0573">
        <w:rPr>
          <w:rFonts w:ascii="Times New Roman" w:hAnsi="Times New Roman" w:cs="Times New Roman"/>
        </w:rPr>
        <w:t xml:space="preserve"> (§15-144(e)(5)).</w:t>
      </w:r>
      <w:r w:rsidR="000E0F16">
        <w:rPr>
          <w:rFonts w:ascii="Times New Roman" w:hAnsi="Times New Roman" w:cs="Times New Roman"/>
        </w:rPr>
        <w:t xml:space="preserve"> </w:t>
      </w:r>
      <w:r w:rsidR="00B56ADE" w:rsidRPr="00B56ADE">
        <w:rPr>
          <w:rFonts w:ascii="Times New Roman" w:hAnsi="Times New Roman" w:cs="Times New Roman"/>
        </w:rPr>
        <w:t>This step is</w:t>
      </w:r>
      <w:r w:rsidR="003840CC">
        <w:rPr>
          <w:rFonts w:ascii="Times New Roman" w:hAnsi="Times New Roman" w:cs="Times New Roman"/>
        </w:rPr>
        <w:t xml:space="preserve"> only</w:t>
      </w:r>
      <w:r w:rsidR="00B56ADE" w:rsidRPr="00B56ADE">
        <w:rPr>
          <w:rFonts w:ascii="Times New Roman" w:hAnsi="Times New Roman" w:cs="Times New Roman"/>
        </w:rPr>
        <w:t xml:space="preserve"> required if administration of a benefit </w:t>
      </w:r>
      <w:r w:rsidR="003840CC">
        <w:rPr>
          <w:rFonts w:ascii="Times New Roman" w:hAnsi="Times New Roman" w:cs="Times New Roman"/>
        </w:rPr>
        <w:t xml:space="preserve">subject to the applicable NQTL </w:t>
      </w:r>
      <w:r w:rsidR="00B56ADE" w:rsidRPr="00B56ADE">
        <w:rPr>
          <w:rFonts w:ascii="Times New Roman" w:hAnsi="Times New Roman" w:cs="Times New Roman"/>
        </w:rPr>
        <w:t>has been delegated to another entity, e.g. formulary design of prescription benefits has been delegated to a pharmacy benefits manager.</w:t>
      </w:r>
    </w:p>
    <w:p w14:paraId="5D06E8A7" w14:textId="3D38E8B9" w:rsidR="009C09B3" w:rsidRPr="00DA0573" w:rsidRDefault="00FA4210" w:rsidP="00FA4210">
      <w:pPr>
        <w:pStyle w:val="ListParagraph"/>
        <w:numPr>
          <w:ilvl w:val="0"/>
          <w:numId w:val="6"/>
        </w:numPr>
        <w:rPr>
          <w:rFonts w:ascii="Times New Roman" w:hAnsi="Times New Roman" w:cs="Times New Roman"/>
          <w:bCs/>
        </w:rPr>
      </w:pPr>
      <w:r w:rsidRPr="00DA0573">
        <w:rPr>
          <w:rFonts w:ascii="Times New Roman" w:hAnsi="Times New Roman" w:cs="Times New Roman"/>
          <w:bCs/>
        </w:rPr>
        <w:lastRenderedPageBreak/>
        <w:t>If the carrier delegates administration or management of certain benefits to a third party vendor or service provider (for example, a private review agent specializing in mental health and substance use disorder benefits or a pharmacy benefits manager), the</w:t>
      </w:r>
      <w:r w:rsidR="000A563A" w:rsidRPr="00DA0573">
        <w:rPr>
          <w:rFonts w:ascii="Times New Roman" w:hAnsi="Times New Roman" w:cs="Times New Roman"/>
          <w:bCs/>
        </w:rPr>
        <w:t xml:space="preserve"> carrier is responsible for coordinating with the subcontracted entity on the development and application of NQTLs for </w:t>
      </w:r>
      <w:r w:rsidR="000A563A" w:rsidRPr="00DA0573">
        <w:rPr>
          <w:rFonts w:ascii="Times New Roman" w:hAnsi="Times New Roman" w:cs="Times New Roman"/>
        </w:rPr>
        <w:t>MH/SUD and medical/surgical benefits</w:t>
      </w:r>
      <w:r w:rsidR="009C09B3" w:rsidRPr="00DA0573">
        <w:rPr>
          <w:rFonts w:ascii="Times New Roman" w:hAnsi="Times New Roman" w:cs="Times New Roman"/>
        </w:rPr>
        <w:t xml:space="preserve"> to ensure comparability</w:t>
      </w:r>
      <w:r w:rsidR="000A563A" w:rsidRPr="00DA0573">
        <w:rPr>
          <w:rFonts w:ascii="Times New Roman" w:hAnsi="Times New Roman" w:cs="Times New Roman"/>
        </w:rPr>
        <w:t>.</w:t>
      </w:r>
      <w:r w:rsidR="000A563A" w:rsidRPr="00DA0573">
        <w:rPr>
          <w:rFonts w:ascii="Times New Roman" w:hAnsi="Times New Roman" w:cs="Times New Roman"/>
          <w:bCs/>
        </w:rPr>
        <w:t xml:space="preserve"> </w:t>
      </w:r>
    </w:p>
    <w:p w14:paraId="4D5953C2" w14:textId="37DB5FD8" w:rsidR="00FA4210" w:rsidRPr="00DA0573" w:rsidRDefault="009C09B3" w:rsidP="00E215BF">
      <w:pPr>
        <w:pStyle w:val="ListParagraph"/>
        <w:numPr>
          <w:ilvl w:val="0"/>
          <w:numId w:val="6"/>
        </w:numPr>
        <w:rPr>
          <w:rFonts w:ascii="Times New Roman" w:hAnsi="Times New Roman" w:cs="Times New Roman"/>
          <w:bCs/>
        </w:rPr>
      </w:pPr>
      <w:r w:rsidRPr="00DA0573">
        <w:rPr>
          <w:rFonts w:ascii="Times New Roman" w:hAnsi="Times New Roman" w:cs="Times New Roman"/>
          <w:bCs/>
        </w:rPr>
        <w:t xml:space="preserve">Include a description of the measures, processes, and standards implemented </w:t>
      </w:r>
      <w:r w:rsidR="00E215BF" w:rsidRPr="00DA0573">
        <w:rPr>
          <w:rFonts w:ascii="Times New Roman" w:hAnsi="Times New Roman" w:cs="Times New Roman"/>
          <w:bCs/>
        </w:rPr>
        <w:t xml:space="preserve">to ensure collaboration </w:t>
      </w:r>
      <w:r w:rsidRPr="00DA0573">
        <w:rPr>
          <w:rFonts w:ascii="Times New Roman" w:hAnsi="Times New Roman" w:cs="Times New Roman"/>
          <w:bCs/>
        </w:rPr>
        <w:t xml:space="preserve">with </w:t>
      </w:r>
      <w:r w:rsidR="00E215BF" w:rsidRPr="00DA0573">
        <w:rPr>
          <w:rFonts w:ascii="Times New Roman" w:hAnsi="Times New Roman" w:cs="Times New Roman"/>
          <w:bCs/>
        </w:rPr>
        <w:t>all</w:t>
      </w:r>
      <w:r w:rsidRPr="00DA0573">
        <w:rPr>
          <w:rFonts w:ascii="Times New Roman" w:hAnsi="Times New Roman" w:cs="Times New Roman"/>
          <w:bCs/>
        </w:rPr>
        <w:t xml:space="preserve"> vendors and subcontracted entities </w:t>
      </w:r>
      <w:r w:rsidR="00E215BF" w:rsidRPr="00DA0573">
        <w:rPr>
          <w:rFonts w:ascii="Times New Roman" w:hAnsi="Times New Roman" w:cs="Times New Roman"/>
          <w:bCs/>
        </w:rPr>
        <w:t>that exert any influence on the design, development, or application of an NQTL</w:t>
      </w:r>
      <w:r w:rsidR="007749F9" w:rsidRPr="00DA0573">
        <w:rPr>
          <w:rFonts w:ascii="Times New Roman" w:hAnsi="Times New Roman" w:cs="Times New Roman"/>
          <w:bCs/>
        </w:rPr>
        <w:t>.</w:t>
      </w:r>
    </w:p>
    <w:p w14:paraId="34DFBD92" w14:textId="35B018F0" w:rsidR="00785521" w:rsidRPr="00DA0573" w:rsidRDefault="00E215BF" w:rsidP="00E215BF">
      <w:pPr>
        <w:pStyle w:val="ListParagraph"/>
        <w:numPr>
          <w:ilvl w:val="0"/>
          <w:numId w:val="6"/>
        </w:numPr>
        <w:rPr>
          <w:rFonts w:ascii="Times New Roman" w:hAnsi="Times New Roman" w:cs="Times New Roman"/>
          <w:bCs/>
        </w:rPr>
      </w:pPr>
      <w:r w:rsidRPr="00DA0573">
        <w:rPr>
          <w:rFonts w:ascii="Times New Roman" w:hAnsi="Times New Roman" w:cs="Times New Roman"/>
        </w:rPr>
        <w:t>I</w:t>
      </w:r>
      <w:r w:rsidR="00785521" w:rsidRPr="00DA0573">
        <w:rPr>
          <w:rFonts w:ascii="Times New Roman" w:hAnsi="Times New Roman" w:cs="Times New Roman"/>
        </w:rPr>
        <w:t>nclude any written procedures or guidelines to ensure that that the NQTL is consistently applied to similarly situated individuals.</w:t>
      </w:r>
    </w:p>
    <w:p w14:paraId="46B80FC0" w14:textId="0E9C2F28" w:rsidR="00991FEE" w:rsidRPr="00DA0573" w:rsidRDefault="00306FE3" w:rsidP="00DA0573">
      <w:pPr>
        <w:spacing w:after="0" w:line="240" w:lineRule="auto"/>
        <w:rPr>
          <w:rFonts w:ascii="Times New Roman" w:hAnsi="Times New Roman" w:cs="Times New Roman"/>
          <w:bCs/>
          <w:u w:val="single"/>
        </w:rPr>
      </w:pPr>
      <w:r w:rsidRPr="00DA0573">
        <w:rPr>
          <w:rFonts w:ascii="Times New Roman" w:hAnsi="Times New Roman" w:cs="Times New Roman"/>
          <w:bCs/>
          <w:u w:val="single"/>
        </w:rPr>
        <w:t>Step 7</w:t>
      </w:r>
      <w:r w:rsidR="00991FEE" w:rsidRPr="00DA0573">
        <w:rPr>
          <w:rFonts w:ascii="Times New Roman" w:hAnsi="Times New Roman" w:cs="Times New Roman"/>
          <w:bCs/>
          <w:u w:val="single"/>
        </w:rPr>
        <w:t>:</w:t>
      </w:r>
    </w:p>
    <w:p w14:paraId="6985BB9D" w14:textId="77777777" w:rsidR="00991FEE" w:rsidRDefault="00991FEE">
      <w:pPr>
        <w:spacing w:after="0" w:line="240" w:lineRule="auto"/>
        <w:rPr>
          <w:rFonts w:ascii="Times New Roman" w:hAnsi="Times New Roman" w:cs="Times New Roman"/>
          <w:bCs/>
        </w:rPr>
      </w:pPr>
    </w:p>
    <w:p w14:paraId="2956BCFC" w14:textId="68AF47EA" w:rsidR="00991FEE" w:rsidRPr="00DA0573" w:rsidRDefault="002B0BD7">
      <w:pPr>
        <w:spacing w:after="0" w:line="240" w:lineRule="auto"/>
        <w:rPr>
          <w:rFonts w:ascii="Times New Roman" w:hAnsi="Times New Roman" w:cs="Times New Roman"/>
        </w:rPr>
      </w:pPr>
      <w:r>
        <w:rPr>
          <w:rFonts w:ascii="Times New Roman" w:hAnsi="Times New Roman" w:cs="Times New Roman"/>
          <w:bCs/>
        </w:rPr>
        <w:t>Disclose the specific findings and conclusions reached by the carrier that indicate</w:t>
      </w:r>
      <w:r w:rsidR="00991FEE" w:rsidRPr="00DA0573">
        <w:rPr>
          <w:rFonts w:ascii="Times New Roman" w:hAnsi="Times New Roman" w:cs="Times New Roman"/>
          <w:bCs/>
        </w:rPr>
        <w:t xml:space="preserve"> compliance with </w:t>
      </w:r>
      <w:r w:rsidR="00B9519C">
        <w:rPr>
          <w:rFonts w:ascii="Times New Roman" w:hAnsi="Times New Roman" w:cs="Times New Roman"/>
          <w:bCs/>
        </w:rPr>
        <w:t xml:space="preserve">§ 15-144 of the Insurance Article, </w:t>
      </w:r>
      <w:r>
        <w:rPr>
          <w:rFonts w:ascii="Times New Roman" w:hAnsi="Times New Roman" w:cs="Times New Roman"/>
          <w:bCs/>
        </w:rPr>
        <w:t>the Parity Act</w:t>
      </w:r>
      <w:r w:rsidR="00B9519C">
        <w:rPr>
          <w:rFonts w:ascii="Times New Roman" w:hAnsi="Times New Roman" w:cs="Times New Roman"/>
          <w:bCs/>
        </w:rPr>
        <w:t>, and other related federal regulations</w:t>
      </w:r>
      <w:r w:rsidR="00991FEE" w:rsidRPr="00DA0573">
        <w:rPr>
          <w:rFonts w:ascii="Times New Roman" w:hAnsi="Times New Roman" w:cs="Times New Roman"/>
          <w:bCs/>
        </w:rPr>
        <w:t>.</w:t>
      </w:r>
      <w:r w:rsidR="00991FEE" w:rsidRPr="00DA0573">
        <w:rPr>
          <w:rFonts w:ascii="Times New Roman" w:hAnsi="Times New Roman" w:cs="Times New Roman"/>
        </w:rPr>
        <w:t xml:space="preserve"> (§15-144(e)(6)).</w:t>
      </w:r>
    </w:p>
    <w:p w14:paraId="72A588FC" w14:textId="62C8B407" w:rsidR="00306FE3" w:rsidRPr="00DA0573" w:rsidRDefault="00306FE3" w:rsidP="00DA0573">
      <w:pPr>
        <w:spacing w:after="0" w:line="240" w:lineRule="auto"/>
        <w:rPr>
          <w:rFonts w:ascii="Times New Roman" w:hAnsi="Times New Roman" w:cs="Times New Roman"/>
        </w:rPr>
      </w:pPr>
    </w:p>
    <w:p w14:paraId="0E4F8D9E" w14:textId="1B663E02" w:rsidR="009021CA" w:rsidRPr="00DA0573" w:rsidRDefault="00F21194" w:rsidP="00B566CA">
      <w:pPr>
        <w:numPr>
          <w:ilvl w:val="0"/>
          <w:numId w:val="7"/>
        </w:numPr>
        <w:rPr>
          <w:rFonts w:ascii="Times New Roman" w:hAnsi="Times New Roman" w:cs="Times New Roman"/>
        </w:rPr>
      </w:pPr>
      <w:r w:rsidRPr="00DA0573">
        <w:rPr>
          <w:rFonts w:ascii="Times New Roman" w:hAnsi="Times New Roman" w:cs="Times New Roman"/>
        </w:rPr>
        <w:t>Explain the basis for the Carrier’s conclusion that both as written and in operation, the processes, strategies, evidentiary standards, and factors used to impose the NQTL on MH/SUD benefits are comparable to and applied no more stringently than the processes, strategies, evidentiary standards, and factors used to impose the NQTL on medical/surgical benefits in each classification of benefits in which the NQTL is imposed.</w:t>
      </w:r>
    </w:p>
    <w:p w14:paraId="6195B8BD" w14:textId="3C6580CF" w:rsidR="009021CA" w:rsidRPr="00DA0573" w:rsidRDefault="009021CA" w:rsidP="004A6D31">
      <w:pPr>
        <w:numPr>
          <w:ilvl w:val="0"/>
          <w:numId w:val="7"/>
        </w:numPr>
        <w:rPr>
          <w:rFonts w:ascii="Times New Roman" w:hAnsi="Times New Roman" w:cs="Times New Roman"/>
        </w:rPr>
      </w:pPr>
      <w:r w:rsidRPr="00DA0573">
        <w:rPr>
          <w:rFonts w:ascii="Times New Roman" w:hAnsi="Times New Roman" w:cs="Times New Roman"/>
          <w:color w:val="292929"/>
          <w:spacing w:val="3"/>
          <w:shd w:val="clear" w:color="auto" w:fill="FFFFFF"/>
        </w:rPr>
        <w:t xml:space="preserve">A general or conclusory statement of compliance </w:t>
      </w:r>
      <w:r w:rsidR="00F21194" w:rsidRPr="00DA0573">
        <w:rPr>
          <w:rFonts w:ascii="Times New Roman" w:hAnsi="Times New Roman" w:cs="Times New Roman"/>
          <w:color w:val="292929"/>
          <w:spacing w:val="3"/>
          <w:shd w:val="clear" w:color="auto" w:fill="FFFFFF"/>
        </w:rPr>
        <w:t>is</w:t>
      </w:r>
      <w:r w:rsidRPr="00DA0573">
        <w:rPr>
          <w:rFonts w:ascii="Times New Roman" w:hAnsi="Times New Roman" w:cs="Times New Roman"/>
          <w:color w:val="292929"/>
          <w:spacing w:val="3"/>
          <w:shd w:val="clear" w:color="auto" w:fill="FFFFFF"/>
        </w:rPr>
        <w:t xml:space="preserve"> not sufficient.</w:t>
      </w:r>
    </w:p>
    <w:p w14:paraId="34765B3E" w14:textId="6ABDFE39" w:rsidR="006439F2" w:rsidRDefault="00E77971" w:rsidP="004A6D31">
      <w:pPr>
        <w:numPr>
          <w:ilvl w:val="0"/>
          <w:numId w:val="7"/>
        </w:numPr>
        <w:rPr>
          <w:rFonts w:ascii="Times New Roman" w:hAnsi="Times New Roman" w:cs="Times New Roman"/>
        </w:rPr>
      </w:pPr>
      <w:r w:rsidRPr="00DA0573">
        <w:rPr>
          <w:rFonts w:ascii="Times New Roman" w:hAnsi="Times New Roman" w:cs="Times New Roman"/>
        </w:rPr>
        <w:t xml:space="preserve">The analysis required for this section is not a restatement of prior sections of the report.  Instead, carriers shall prepare a detailed summary of specific findings and conclusions demonstrating that the plan is in compliance with the </w:t>
      </w:r>
      <w:r w:rsidR="00343FA2">
        <w:rPr>
          <w:rFonts w:ascii="Times New Roman" w:hAnsi="Times New Roman" w:cs="Times New Roman"/>
        </w:rPr>
        <w:t>P</w:t>
      </w:r>
      <w:r w:rsidRPr="00DA0573">
        <w:rPr>
          <w:rFonts w:ascii="Times New Roman" w:hAnsi="Times New Roman" w:cs="Times New Roman"/>
        </w:rPr>
        <w:t xml:space="preserve">arity </w:t>
      </w:r>
      <w:r w:rsidR="00343FA2">
        <w:rPr>
          <w:rFonts w:ascii="Times New Roman" w:hAnsi="Times New Roman" w:cs="Times New Roman"/>
        </w:rPr>
        <w:t>A</w:t>
      </w:r>
      <w:r w:rsidRPr="00DA0573">
        <w:rPr>
          <w:rFonts w:ascii="Times New Roman" w:hAnsi="Times New Roman" w:cs="Times New Roman"/>
        </w:rPr>
        <w:t xml:space="preserve">ct both as written and in operation.  </w:t>
      </w:r>
    </w:p>
    <w:p w14:paraId="3334C13B" w14:textId="6B9D9E6E" w:rsidR="00C10A31" w:rsidRDefault="005D3400" w:rsidP="004A6D31">
      <w:pPr>
        <w:numPr>
          <w:ilvl w:val="0"/>
          <w:numId w:val="7"/>
        </w:numPr>
        <w:rPr>
          <w:rFonts w:ascii="Times New Roman" w:hAnsi="Times New Roman" w:cs="Times New Roman"/>
        </w:rPr>
      </w:pPr>
      <w:r w:rsidRPr="00DA0573">
        <w:rPr>
          <w:rFonts w:ascii="Times New Roman" w:hAnsi="Times New Roman" w:cs="Times New Roman"/>
        </w:rPr>
        <w:t>To the extent there are differences noted between MH/SUD and M/S in the foregoing steps, delineate these in the summary and note how they were reconciled in the reporting. For example, if different factors were utilized to determine services to which the NQTLs would apply, explain how the processes, strategies, evidentiary standards, and other factors were determined to be comparable and applied no more stringently as written and in operation.</w:t>
      </w:r>
    </w:p>
    <w:p w14:paraId="18D3C59E" w14:textId="646C3FB7" w:rsidR="004A523B" w:rsidRPr="008C72B9" w:rsidRDefault="00AA4210" w:rsidP="008C72B9">
      <w:pPr>
        <w:pStyle w:val="ListParagraph"/>
        <w:numPr>
          <w:ilvl w:val="0"/>
          <w:numId w:val="41"/>
        </w:numPr>
        <w:rPr>
          <w:rFonts w:ascii="Times New Roman" w:hAnsi="Times New Roman" w:cs="Times New Roman"/>
        </w:rPr>
      </w:pPr>
      <w:r w:rsidRPr="008C72B9">
        <w:rPr>
          <w:rFonts w:ascii="Times New Roman" w:hAnsi="Times New Roman" w:cs="Times New Roman"/>
        </w:rPr>
        <w:t>To the extent there are disparities in any comparative data analyses, including quantitative disparities</w:t>
      </w:r>
      <w:r w:rsidR="00CF0B99">
        <w:rPr>
          <w:rFonts w:ascii="Times New Roman" w:hAnsi="Times New Roman" w:cs="Times New Roman"/>
        </w:rPr>
        <w:t xml:space="preserve"> shown in the</w:t>
      </w:r>
      <w:r w:rsidR="004C0FBB">
        <w:rPr>
          <w:rFonts w:ascii="Times New Roman" w:hAnsi="Times New Roman" w:cs="Times New Roman"/>
        </w:rPr>
        <w:t xml:space="preserve"> </w:t>
      </w:r>
      <w:r w:rsidR="004C0FBB" w:rsidRPr="009060D8">
        <w:rPr>
          <w:rFonts w:ascii="Times New Roman" w:hAnsi="Times New Roman" w:cs="Times New Roman"/>
        </w:rPr>
        <w:t>required</w:t>
      </w:r>
      <w:r w:rsidR="00CF0B99" w:rsidRPr="009060D8">
        <w:rPr>
          <w:rFonts w:ascii="Times New Roman" w:hAnsi="Times New Roman" w:cs="Times New Roman"/>
        </w:rPr>
        <w:t xml:space="preserve"> data </w:t>
      </w:r>
      <w:r w:rsidR="009060D8">
        <w:rPr>
          <w:rFonts w:ascii="Times New Roman" w:hAnsi="Times New Roman" w:cs="Times New Roman"/>
        </w:rPr>
        <w:t>supplement</w:t>
      </w:r>
      <w:r w:rsidR="005B5D1C">
        <w:rPr>
          <w:rFonts w:ascii="Times New Roman" w:hAnsi="Times New Roman" w:cs="Times New Roman"/>
        </w:rPr>
        <w:t xml:space="preserve"> forms</w:t>
      </w:r>
      <w:r w:rsidR="00CF0B99" w:rsidRPr="009060D8">
        <w:rPr>
          <w:rFonts w:ascii="Times New Roman" w:hAnsi="Times New Roman" w:cs="Times New Roman"/>
        </w:rPr>
        <w:t xml:space="preserve"> or</w:t>
      </w:r>
      <w:r w:rsidR="00CF0B99">
        <w:rPr>
          <w:rFonts w:ascii="Times New Roman" w:hAnsi="Times New Roman" w:cs="Times New Roman"/>
        </w:rPr>
        <w:t xml:space="preserve"> other in operation analyses</w:t>
      </w:r>
      <w:r w:rsidRPr="008C72B9">
        <w:rPr>
          <w:rFonts w:ascii="Times New Roman" w:hAnsi="Times New Roman" w:cs="Times New Roman"/>
        </w:rPr>
        <w:t xml:space="preserve">, explain in detail how these disparities are not evidence of parity non-compliance, </w:t>
      </w:r>
      <w:r w:rsidR="003A3FC8">
        <w:rPr>
          <w:rFonts w:ascii="Times New Roman" w:hAnsi="Times New Roman" w:cs="Times New Roman"/>
        </w:rPr>
        <w:t xml:space="preserve">and </w:t>
      </w:r>
      <w:r w:rsidRPr="008C72B9">
        <w:rPr>
          <w:rFonts w:ascii="Times New Roman" w:hAnsi="Times New Roman" w:cs="Times New Roman"/>
        </w:rPr>
        <w:t>whether steps will be taken to reduce these disparities. Include whether steps have been taken to ensure/improve access to in-network M/S providers and whether the same or comparable steps have been taken for MH/SUD.</w:t>
      </w:r>
    </w:p>
    <w:p w14:paraId="60CB1FDB" w14:textId="0EB79497" w:rsidR="004A523B" w:rsidRDefault="004A523B" w:rsidP="00DA0573">
      <w:pPr>
        <w:rPr>
          <w:rFonts w:ascii="Times New Roman" w:hAnsi="Times New Roman" w:cs="Times New Roman"/>
        </w:rPr>
      </w:pPr>
    </w:p>
    <w:p w14:paraId="5116BCA6" w14:textId="2995D02B" w:rsidR="004A523B" w:rsidRDefault="004A523B" w:rsidP="00DA0573">
      <w:pPr>
        <w:rPr>
          <w:rFonts w:ascii="Times New Roman" w:hAnsi="Times New Roman" w:cs="Times New Roman"/>
        </w:rPr>
      </w:pPr>
    </w:p>
    <w:p w14:paraId="6607EC8D" w14:textId="77777777" w:rsidR="004A523B" w:rsidRPr="00DA0573" w:rsidRDefault="004A523B" w:rsidP="00DA0573">
      <w:pPr>
        <w:rPr>
          <w:rFonts w:ascii="Times New Roman" w:hAnsi="Times New Roman" w:cs="Times New Roman"/>
        </w:rPr>
      </w:pPr>
    </w:p>
    <w:p w14:paraId="09E5BCD1" w14:textId="569D8793" w:rsidR="00306FE3" w:rsidRPr="00DA0573" w:rsidRDefault="00306FE3" w:rsidP="00306FE3">
      <w:pPr>
        <w:rPr>
          <w:rFonts w:ascii="Times New Roman" w:hAnsi="Times New Roman" w:cs="Times New Roman"/>
        </w:rPr>
      </w:pPr>
      <w:r w:rsidRPr="00DA0573">
        <w:rPr>
          <w:rFonts w:ascii="Times New Roman" w:hAnsi="Times New Roman" w:cs="Times New Roman"/>
          <w:b/>
          <w:bCs/>
          <w:u w:val="single"/>
        </w:rPr>
        <w:t>Disclosure Requirements</w:t>
      </w:r>
    </w:p>
    <w:p w14:paraId="4D89633C" w14:textId="6DC76714" w:rsidR="00306FE3" w:rsidRPr="00DA0573" w:rsidRDefault="00306FE3" w:rsidP="00306FE3">
      <w:pPr>
        <w:rPr>
          <w:rFonts w:ascii="Times New Roman" w:hAnsi="Times New Roman" w:cs="Times New Roman"/>
        </w:rPr>
      </w:pPr>
      <w:r w:rsidRPr="00DA0573">
        <w:rPr>
          <w:rFonts w:ascii="Times New Roman" w:hAnsi="Times New Roman" w:cs="Times New Roman"/>
          <w:b/>
          <w:bCs/>
        </w:rPr>
        <w:t>Identify the process used to comply with the Parity Act Disclosure Requirements for MH/SUD</w:t>
      </w:r>
      <w:r w:rsidR="002B0BD7">
        <w:rPr>
          <w:rFonts w:ascii="Times New Roman" w:hAnsi="Times New Roman" w:cs="Times New Roman"/>
          <w:b/>
          <w:bCs/>
        </w:rPr>
        <w:t xml:space="preserve"> and </w:t>
      </w:r>
      <w:r w:rsidR="00182956">
        <w:rPr>
          <w:rFonts w:ascii="Times New Roman" w:hAnsi="Times New Roman" w:cs="Times New Roman"/>
          <w:b/>
          <w:bCs/>
        </w:rPr>
        <w:t>M/S</w:t>
      </w:r>
      <w:r w:rsidRPr="00DA0573">
        <w:rPr>
          <w:rFonts w:ascii="Times New Roman" w:hAnsi="Times New Roman" w:cs="Times New Roman"/>
          <w:b/>
          <w:bCs/>
        </w:rPr>
        <w:t xml:space="preserve"> Benefits.</w:t>
      </w:r>
    </w:p>
    <w:p w14:paraId="2AB0CF50" w14:textId="033DE4FE" w:rsidR="00306FE3" w:rsidRPr="00DA0573" w:rsidRDefault="003205C4">
      <w:pPr>
        <w:rPr>
          <w:rFonts w:ascii="Times New Roman" w:hAnsi="Times New Roman" w:cs="Times New Roman"/>
          <w:b/>
          <w:bCs/>
        </w:rPr>
      </w:pPr>
      <w:r w:rsidRPr="00DA0573">
        <w:rPr>
          <w:rFonts w:ascii="Times New Roman" w:hAnsi="Times New Roman" w:cs="Times New Roman"/>
          <w:b/>
          <w:bCs/>
        </w:rPr>
        <w:lastRenderedPageBreak/>
        <w:t>Describe</w:t>
      </w:r>
      <w:r w:rsidR="009048B5" w:rsidRPr="00DA0573">
        <w:rPr>
          <w:rFonts w:ascii="Times New Roman" w:hAnsi="Times New Roman" w:cs="Times New Roman"/>
          <w:b/>
          <w:bCs/>
        </w:rPr>
        <w:t xml:space="preserve"> the process for disclosing </w:t>
      </w:r>
      <w:r w:rsidR="00306FE3" w:rsidRPr="00DA0573">
        <w:rPr>
          <w:rFonts w:ascii="Times New Roman" w:hAnsi="Times New Roman" w:cs="Times New Roman"/>
          <w:b/>
          <w:bCs/>
        </w:rPr>
        <w:t xml:space="preserve">the criteria used for </w:t>
      </w:r>
      <w:r w:rsidR="009048B5" w:rsidRPr="00DA0573">
        <w:rPr>
          <w:rFonts w:ascii="Times New Roman" w:hAnsi="Times New Roman" w:cs="Times New Roman"/>
          <w:b/>
          <w:bCs/>
        </w:rPr>
        <w:t xml:space="preserve">a </w:t>
      </w:r>
      <w:r w:rsidR="00306FE3" w:rsidRPr="00DA0573">
        <w:rPr>
          <w:rFonts w:ascii="Times New Roman" w:hAnsi="Times New Roman" w:cs="Times New Roman"/>
          <w:b/>
          <w:bCs/>
        </w:rPr>
        <w:t>medical necessity determination</w:t>
      </w:r>
      <w:r w:rsidR="0073578F" w:rsidRPr="00DA0573">
        <w:rPr>
          <w:rFonts w:ascii="Times New Roman" w:hAnsi="Times New Roman" w:cs="Times New Roman"/>
          <w:b/>
          <w:bCs/>
        </w:rPr>
        <w:t xml:space="preserve"> for MH/SUD benefits</w:t>
      </w:r>
      <w:r w:rsidR="002B0BD7">
        <w:rPr>
          <w:rFonts w:ascii="Times New Roman" w:hAnsi="Times New Roman" w:cs="Times New Roman"/>
          <w:b/>
          <w:bCs/>
        </w:rPr>
        <w:t xml:space="preserve"> to current or potential members, or to a contracting provider, upon request</w:t>
      </w:r>
      <w:r w:rsidR="00306FE3" w:rsidRPr="00DA0573">
        <w:rPr>
          <w:rFonts w:ascii="Times New Roman" w:hAnsi="Times New Roman" w:cs="Times New Roman"/>
          <w:b/>
          <w:bCs/>
        </w:rPr>
        <w:t>.</w:t>
      </w:r>
    </w:p>
    <w:p w14:paraId="2082F571" w14:textId="77777777" w:rsidR="006F7312" w:rsidRPr="00DA0573" w:rsidRDefault="006F7312" w:rsidP="001A48CE">
      <w:pPr>
        <w:shd w:val="clear" w:color="auto" w:fill="FFFFFF"/>
        <w:spacing w:after="0" w:line="240" w:lineRule="auto"/>
        <w:ind w:left="1440"/>
        <w:rPr>
          <w:rFonts w:ascii="Times New Roman" w:hAnsi="Times New Roman" w:cs="Times New Roman"/>
        </w:rPr>
      </w:pPr>
    </w:p>
    <w:p w14:paraId="3D1AA2CB" w14:textId="534952D2" w:rsidR="001066B0" w:rsidRPr="00DA0573" w:rsidRDefault="00AD3C5A" w:rsidP="00AD3C5A">
      <w:pPr>
        <w:pStyle w:val="Default"/>
        <w:numPr>
          <w:ilvl w:val="0"/>
          <w:numId w:val="24"/>
        </w:numPr>
        <w:rPr>
          <w:sz w:val="22"/>
          <w:szCs w:val="22"/>
        </w:rPr>
      </w:pPr>
      <w:r w:rsidRPr="00DA0573">
        <w:rPr>
          <w:sz w:val="22"/>
          <w:szCs w:val="22"/>
        </w:rPr>
        <w:t>C</w:t>
      </w:r>
      <w:r w:rsidR="001066B0" w:rsidRPr="00DA0573">
        <w:rPr>
          <w:sz w:val="22"/>
          <w:szCs w:val="22"/>
        </w:rPr>
        <w:t>arriers shall report any instructions, guidance or information available to</w:t>
      </w:r>
      <w:r w:rsidR="002B0BD7">
        <w:rPr>
          <w:sz w:val="22"/>
          <w:szCs w:val="22"/>
        </w:rPr>
        <w:t xml:space="preserve"> the</w:t>
      </w:r>
      <w:r w:rsidR="001066B0" w:rsidRPr="00DA0573">
        <w:rPr>
          <w:sz w:val="22"/>
          <w:szCs w:val="22"/>
        </w:rPr>
        <w:t xml:space="preserve"> public concerning the carrier’s obligation to respond to disclosure requests, including where requests must be sent and what information is available in response to disclosure requests.</w:t>
      </w:r>
    </w:p>
    <w:p w14:paraId="21DD614D" w14:textId="77777777" w:rsidR="001066B0" w:rsidRPr="00DA0573" w:rsidRDefault="001066B0" w:rsidP="00DA0573">
      <w:pPr>
        <w:pStyle w:val="Default"/>
        <w:ind w:left="1080"/>
        <w:rPr>
          <w:sz w:val="22"/>
          <w:szCs w:val="22"/>
        </w:rPr>
      </w:pPr>
    </w:p>
    <w:p w14:paraId="60C48629" w14:textId="5C90BA17" w:rsidR="001066B0" w:rsidRPr="00DA0573" w:rsidRDefault="001066B0" w:rsidP="00AD3C5A">
      <w:pPr>
        <w:pStyle w:val="Default"/>
        <w:numPr>
          <w:ilvl w:val="0"/>
          <w:numId w:val="24"/>
        </w:numPr>
        <w:rPr>
          <w:sz w:val="22"/>
          <w:szCs w:val="22"/>
        </w:rPr>
      </w:pPr>
      <w:r w:rsidRPr="00DA0573">
        <w:rPr>
          <w:sz w:val="22"/>
          <w:szCs w:val="22"/>
        </w:rPr>
        <w:t>Carriers shall report whether the designated division and/or individual(s) responsible for responding to disclosure requests.</w:t>
      </w:r>
    </w:p>
    <w:p w14:paraId="2B542D5F" w14:textId="143C30C6" w:rsidR="001066B0" w:rsidRPr="00DA0573" w:rsidRDefault="001066B0" w:rsidP="00AD3C5A">
      <w:pPr>
        <w:pStyle w:val="Default"/>
        <w:numPr>
          <w:ilvl w:val="0"/>
          <w:numId w:val="24"/>
        </w:numPr>
        <w:rPr>
          <w:sz w:val="22"/>
          <w:szCs w:val="22"/>
        </w:rPr>
      </w:pPr>
      <w:r w:rsidRPr="00DA0573">
        <w:rPr>
          <w:sz w:val="22"/>
          <w:szCs w:val="22"/>
        </w:rPr>
        <w:t xml:space="preserve">Carriers shall indicate whether it responded to any disclosure requests </w:t>
      </w:r>
      <w:r w:rsidR="002B0BD7">
        <w:rPr>
          <w:sz w:val="22"/>
          <w:szCs w:val="22"/>
        </w:rPr>
        <w:t xml:space="preserve">by </w:t>
      </w:r>
      <w:r w:rsidRPr="00DA0573">
        <w:rPr>
          <w:sz w:val="22"/>
          <w:szCs w:val="22"/>
        </w:rPr>
        <w:t xml:space="preserve">denying access </w:t>
      </w:r>
      <w:r w:rsidR="002B0BD7" w:rsidRPr="00DA0573">
        <w:rPr>
          <w:sz w:val="22"/>
          <w:szCs w:val="22"/>
        </w:rPr>
        <w:t>to</w:t>
      </w:r>
      <w:r w:rsidRPr="00DA0573">
        <w:rPr>
          <w:sz w:val="22"/>
          <w:szCs w:val="22"/>
        </w:rPr>
        <w:t xml:space="preserve"> the requested information and the basis for such denial. </w:t>
      </w:r>
    </w:p>
    <w:p w14:paraId="36052FE4" w14:textId="77777777" w:rsidR="001066B0" w:rsidRPr="00DA0573" w:rsidRDefault="001066B0" w:rsidP="00DA0573">
      <w:pPr>
        <w:pStyle w:val="Default"/>
        <w:ind w:left="1080"/>
        <w:rPr>
          <w:sz w:val="22"/>
          <w:szCs w:val="22"/>
        </w:rPr>
      </w:pPr>
    </w:p>
    <w:p w14:paraId="23B72E3D" w14:textId="71A92E80" w:rsidR="00AD3C5A" w:rsidRPr="00DA0573" w:rsidRDefault="001066B0" w:rsidP="00AD3C5A">
      <w:pPr>
        <w:pStyle w:val="Default"/>
        <w:numPr>
          <w:ilvl w:val="0"/>
          <w:numId w:val="24"/>
        </w:numPr>
        <w:rPr>
          <w:sz w:val="22"/>
          <w:szCs w:val="22"/>
        </w:rPr>
      </w:pPr>
      <w:r w:rsidRPr="00DA0573">
        <w:rPr>
          <w:sz w:val="22"/>
          <w:szCs w:val="22"/>
        </w:rPr>
        <w:t>C</w:t>
      </w:r>
      <w:r w:rsidR="00AD3C5A" w:rsidRPr="00DA0573">
        <w:rPr>
          <w:sz w:val="22"/>
          <w:szCs w:val="22"/>
        </w:rPr>
        <w:t>arriers shall report any internal review process used to respond to disclosure requests for medical necessity criteria.</w:t>
      </w:r>
    </w:p>
    <w:p w14:paraId="2926F6DC" w14:textId="77777777" w:rsidR="004D382C" w:rsidRPr="00DA0573" w:rsidRDefault="004D382C" w:rsidP="001A48CE">
      <w:pPr>
        <w:pStyle w:val="Default"/>
        <w:ind w:left="360"/>
        <w:rPr>
          <w:sz w:val="22"/>
          <w:szCs w:val="22"/>
        </w:rPr>
      </w:pPr>
    </w:p>
    <w:p w14:paraId="12D18856" w14:textId="70F5ACF9" w:rsidR="007606D2" w:rsidRPr="00DA0573" w:rsidRDefault="004D382C" w:rsidP="001A48CE">
      <w:pPr>
        <w:pStyle w:val="Default"/>
        <w:numPr>
          <w:ilvl w:val="0"/>
          <w:numId w:val="24"/>
        </w:numPr>
        <w:rPr>
          <w:sz w:val="22"/>
          <w:szCs w:val="22"/>
        </w:rPr>
      </w:pPr>
      <w:r w:rsidRPr="00DA0573">
        <w:rPr>
          <w:sz w:val="22"/>
          <w:szCs w:val="22"/>
        </w:rPr>
        <w:t xml:space="preserve"> Carriers shall report any template form response used to explain </w:t>
      </w:r>
      <w:r w:rsidR="007606D2" w:rsidRPr="00DA0573">
        <w:rPr>
          <w:sz w:val="22"/>
          <w:szCs w:val="22"/>
        </w:rPr>
        <w:t>medical necessity criteria</w:t>
      </w:r>
      <w:r w:rsidR="00355C89" w:rsidRPr="00DA0573">
        <w:rPr>
          <w:sz w:val="22"/>
          <w:szCs w:val="22"/>
        </w:rPr>
        <w:t xml:space="preserve"> </w:t>
      </w:r>
      <w:r w:rsidRPr="00DA0573">
        <w:rPr>
          <w:sz w:val="22"/>
          <w:szCs w:val="22"/>
        </w:rPr>
        <w:t xml:space="preserve">in response to a </w:t>
      </w:r>
      <w:r w:rsidR="00355C89" w:rsidRPr="00DA0573">
        <w:rPr>
          <w:color w:val="221F1F"/>
          <w:sz w:val="22"/>
          <w:szCs w:val="22"/>
        </w:rPr>
        <w:t>participant</w:t>
      </w:r>
      <w:r w:rsidR="001066B0" w:rsidRPr="00DA0573">
        <w:rPr>
          <w:color w:val="221F1F"/>
          <w:sz w:val="22"/>
          <w:szCs w:val="22"/>
        </w:rPr>
        <w:t>,</w:t>
      </w:r>
      <w:r w:rsidR="00355C89" w:rsidRPr="00DA0573">
        <w:rPr>
          <w:color w:val="221F1F"/>
          <w:sz w:val="22"/>
          <w:szCs w:val="22"/>
        </w:rPr>
        <w:t xml:space="preserve"> beneficiary, provider, or authorized representative of the beneficiary or participant</w:t>
      </w:r>
      <w:r w:rsidRPr="00DA0573">
        <w:rPr>
          <w:color w:val="221F1F"/>
          <w:sz w:val="22"/>
          <w:szCs w:val="22"/>
        </w:rPr>
        <w:t>.</w:t>
      </w:r>
    </w:p>
    <w:p w14:paraId="27818F15" w14:textId="77777777" w:rsidR="00423C0B" w:rsidRPr="00DA0573" w:rsidRDefault="00423C0B" w:rsidP="001A48CE">
      <w:pPr>
        <w:pStyle w:val="Default"/>
        <w:ind w:left="360"/>
        <w:rPr>
          <w:sz w:val="22"/>
          <w:szCs w:val="22"/>
        </w:rPr>
      </w:pPr>
    </w:p>
    <w:p w14:paraId="5C0DF3B9" w14:textId="7B8A6071" w:rsidR="00306FE3" w:rsidRPr="00DA0573" w:rsidRDefault="003205C4" w:rsidP="00306FE3">
      <w:pPr>
        <w:rPr>
          <w:rFonts w:ascii="Times New Roman" w:hAnsi="Times New Roman" w:cs="Times New Roman"/>
          <w:b/>
          <w:bCs/>
        </w:rPr>
      </w:pPr>
      <w:r w:rsidRPr="00DA0573">
        <w:rPr>
          <w:rFonts w:ascii="Times New Roman" w:hAnsi="Times New Roman" w:cs="Times New Roman"/>
          <w:b/>
          <w:bCs/>
        </w:rPr>
        <w:t>Describe</w:t>
      </w:r>
      <w:r w:rsidR="009048B5" w:rsidRPr="00DA0573">
        <w:rPr>
          <w:rFonts w:ascii="Times New Roman" w:hAnsi="Times New Roman" w:cs="Times New Roman"/>
          <w:b/>
          <w:bCs/>
        </w:rPr>
        <w:t xml:space="preserve"> the process for disclosing </w:t>
      </w:r>
      <w:r w:rsidR="00306FE3" w:rsidRPr="00DA0573">
        <w:rPr>
          <w:rFonts w:ascii="Times New Roman" w:hAnsi="Times New Roman" w:cs="Times New Roman"/>
          <w:b/>
          <w:bCs/>
        </w:rPr>
        <w:t>the reasons for a denial of benefits</w:t>
      </w:r>
      <w:r w:rsidR="00090832" w:rsidRPr="00DA0573">
        <w:rPr>
          <w:rFonts w:ascii="Times New Roman" w:hAnsi="Times New Roman" w:cs="Times New Roman"/>
          <w:b/>
          <w:bCs/>
        </w:rPr>
        <w:t xml:space="preserve"> for MH/SUD.</w:t>
      </w:r>
    </w:p>
    <w:p w14:paraId="07BA4746" w14:textId="06A2D387" w:rsidR="00AD3C5A" w:rsidRPr="00DA0573" w:rsidRDefault="00AD3C5A" w:rsidP="00AD3C5A">
      <w:pPr>
        <w:pStyle w:val="Default"/>
        <w:numPr>
          <w:ilvl w:val="0"/>
          <w:numId w:val="24"/>
        </w:numPr>
        <w:rPr>
          <w:sz w:val="22"/>
          <w:szCs w:val="22"/>
        </w:rPr>
      </w:pPr>
      <w:r w:rsidRPr="00DA0573">
        <w:rPr>
          <w:sz w:val="22"/>
          <w:szCs w:val="22"/>
        </w:rPr>
        <w:t>Carriers shall report any internal review process used to respond to disclosure requests for denials</w:t>
      </w:r>
      <w:r w:rsidR="003205C4" w:rsidRPr="00DA0573">
        <w:rPr>
          <w:sz w:val="22"/>
          <w:szCs w:val="22"/>
        </w:rPr>
        <w:t xml:space="preserve"> of benefits</w:t>
      </w:r>
      <w:r w:rsidRPr="00DA0573">
        <w:rPr>
          <w:sz w:val="22"/>
          <w:szCs w:val="22"/>
        </w:rPr>
        <w:t xml:space="preserve">. </w:t>
      </w:r>
    </w:p>
    <w:p w14:paraId="744EE61D" w14:textId="77777777" w:rsidR="00AD3C5A" w:rsidRPr="00DA0573" w:rsidRDefault="00AD3C5A" w:rsidP="001A48CE">
      <w:pPr>
        <w:shd w:val="clear" w:color="auto" w:fill="FFFFFF"/>
        <w:spacing w:after="0" w:line="240" w:lineRule="auto"/>
        <w:ind w:left="360"/>
        <w:rPr>
          <w:rFonts w:ascii="Times New Roman" w:eastAsia="Times New Roman" w:hAnsi="Times New Roman" w:cs="Times New Roman"/>
          <w:color w:val="222222"/>
        </w:rPr>
      </w:pPr>
    </w:p>
    <w:p w14:paraId="2CED8771" w14:textId="43D6EB6D" w:rsidR="006F7312" w:rsidRPr="00DA0573" w:rsidRDefault="00E55CE9" w:rsidP="00244834">
      <w:pPr>
        <w:pStyle w:val="ListParagraph"/>
        <w:numPr>
          <w:ilvl w:val="0"/>
          <w:numId w:val="24"/>
        </w:numPr>
        <w:shd w:val="clear" w:color="auto" w:fill="FFFFFF"/>
        <w:spacing w:after="0" w:line="240" w:lineRule="auto"/>
        <w:rPr>
          <w:rFonts w:ascii="Times New Roman" w:eastAsia="Times New Roman" w:hAnsi="Times New Roman" w:cs="Times New Roman"/>
          <w:color w:val="222222"/>
        </w:rPr>
      </w:pPr>
      <w:r w:rsidRPr="00DA0573">
        <w:rPr>
          <w:rFonts w:ascii="Times New Roman" w:eastAsia="Times New Roman" w:hAnsi="Times New Roman" w:cs="Times New Roman"/>
          <w:color w:val="222222"/>
        </w:rPr>
        <w:t>Carrier</w:t>
      </w:r>
      <w:r w:rsidR="00AD3C5A" w:rsidRPr="00DA0573">
        <w:rPr>
          <w:rFonts w:ascii="Times New Roman" w:eastAsia="Times New Roman" w:hAnsi="Times New Roman" w:cs="Times New Roman"/>
          <w:color w:val="222222"/>
        </w:rPr>
        <w:t>s</w:t>
      </w:r>
      <w:r w:rsidRPr="00DA0573">
        <w:rPr>
          <w:rFonts w:ascii="Times New Roman" w:eastAsia="Times New Roman" w:hAnsi="Times New Roman" w:cs="Times New Roman"/>
          <w:color w:val="222222"/>
        </w:rPr>
        <w:t xml:space="preserve"> shall report the </w:t>
      </w:r>
      <w:r w:rsidR="00AD3C5A" w:rsidRPr="00DA0573">
        <w:rPr>
          <w:rFonts w:ascii="Times New Roman" w:eastAsia="Times New Roman" w:hAnsi="Times New Roman" w:cs="Times New Roman"/>
          <w:color w:val="222222"/>
        </w:rPr>
        <w:t xml:space="preserve">criteria for responding to a disclosure request based on a </w:t>
      </w:r>
      <w:r w:rsidRPr="00DA0573">
        <w:rPr>
          <w:rFonts w:ascii="Times New Roman" w:eastAsia="Times New Roman" w:hAnsi="Times New Roman" w:cs="Times New Roman"/>
          <w:color w:val="222222"/>
        </w:rPr>
        <w:t>denial</w:t>
      </w:r>
      <w:r w:rsidR="00AD3C5A" w:rsidRPr="00DA0573">
        <w:rPr>
          <w:rFonts w:ascii="Times New Roman" w:eastAsia="Times New Roman" w:hAnsi="Times New Roman" w:cs="Times New Roman"/>
          <w:color w:val="222222"/>
        </w:rPr>
        <w:t xml:space="preserve"> of benefits </w:t>
      </w:r>
      <w:r w:rsidR="00920329" w:rsidRPr="00DA0573">
        <w:rPr>
          <w:rFonts w:ascii="Times New Roman" w:eastAsia="Times New Roman" w:hAnsi="Times New Roman" w:cs="Times New Roman"/>
          <w:color w:val="222222"/>
        </w:rPr>
        <w:t xml:space="preserve">for any applicable plan. </w:t>
      </w:r>
    </w:p>
    <w:p w14:paraId="7CC1B11C" w14:textId="77777777" w:rsidR="00920329" w:rsidRPr="00DA0573" w:rsidRDefault="00920329" w:rsidP="001A48CE">
      <w:pPr>
        <w:pStyle w:val="ListParagraph"/>
        <w:rPr>
          <w:rFonts w:ascii="Times New Roman" w:eastAsia="Times New Roman" w:hAnsi="Times New Roman" w:cs="Times New Roman"/>
          <w:color w:val="222222"/>
        </w:rPr>
      </w:pPr>
    </w:p>
    <w:p w14:paraId="3E1A4562" w14:textId="103C75DA" w:rsidR="006F7312" w:rsidRPr="00DA0573" w:rsidRDefault="003205C4" w:rsidP="006F7312">
      <w:pPr>
        <w:pStyle w:val="ListParagraph"/>
        <w:numPr>
          <w:ilvl w:val="0"/>
          <w:numId w:val="24"/>
        </w:numPr>
        <w:shd w:val="clear" w:color="auto" w:fill="FFFFFF"/>
        <w:spacing w:after="0" w:line="240" w:lineRule="auto"/>
        <w:rPr>
          <w:rFonts w:ascii="Times New Roman" w:eastAsia="Times New Roman" w:hAnsi="Times New Roman" w:cs="Times New Roman"/>
          <w:color w:val="222222"/>
        </w:rPr>
      </w:pPr>
      <w:r w:rsidRPr="00DA0573">
        <w:rPr>
          <w:rFonts w:ascii="Times New Roman" w:hAnsi="Times New Roman" w:cs="Times New Roman"/>
          <w:color w:val="221F1F"/>
        </w:rPr>
        <w:t>C</w:t>
      </w:r>
      <w:r w:rsidR="00920329" w:rsidRPr="00DA0573">
        <w:rPr>
          <w:rFonts w:ascii="Times New Roman" w:hAnsi="Times New Roman" w:cs="Times New Roman"/>
          <w:color w:val="221F1F"/>
        </w:rPr>
        <w:t xml:space="preserve">arriers shall report the number of disclosure requests </w:t>
      </w:r>
      <w:r w:rsidRPr="00DA0573">
        <w:rPr>
          <w:rFonts w:ascii="Times New Roman" w:hAnsi="Times New Roman" w:cs="Times New Roman"/>
          <w:color w:val="221F1F"/>
        </w:rPr>
        <w:t xml:space="preserve">received for denials of benefits </w:t>
      </w:r>
      <w:r w:rsidR="00920329" w:rsidRPr="00DA0573">
        <w:rPr>
          <w:rFonts w:ascii="Times New Roman" w:hAnsi="Times New Roman" w:cs="Times New Roman"/>
          <w:color w:val="221F1F"/>
        </w:rPr>
        <w:t xml:space="preserve">and the number of </w:t>
      </w:r>
      <w:r w:rsidR="006F7312" w:rsidRPr="00DA0573">
        <w:rPr>
          <w:rFonts w:ascii="Times New Roman" w:hAnsi="Times New Roman" w:cs="Times New Roman"/>
          <w:color w:val="221F1F"/>
        </w:rPr>
        <w:t>instance</w:t>
      </w:r>
      <w:r w:rsidR="00920329" w:rsidRPr="00DA0573">
        <w:rPr>
          <w:rFonts w:ascii="Times New Roman" w:hAnsi="Times New Roman" w:cs="Times New Roman"/>
          <w:color w:val="221F1F"/>
        </w:rPr>
        <w:t>s</w:t>
      </w:r>
      <w:r w:rsidR="006F7312" w:rsidRPr="00DA0573">
        <w:rPr>
          <w:rFonts w:ascii="Times New Roman" w:hAnsi="Times New Roman" w:cs="Times New Roman"/>
          <w:color w:val="221F1F"/>
        </w:rPr>
        <w:t xml:space="preserve"> when it failed to provide a response to a participant beneficiary, provider, or authorized representative of the beneficiary or participant within 30 days of the request.</w:t>
      </w:r>
    </w:p>
    <w:p w14:paraId="0CA7546B" w14:textId="77777777" w:rsidR="00E55CE9" w:rsidRPr="00DA0573" w:rsidRDefault="00E55CE9" w:rsidP="001A48CE">
      <w:pPr>
        <w:shd w:val="clear" w:color="auto" w:fill="FFFFFF"/>
        <w:spacing w:after="0" w:line="240" w:lineRule="auto"/>
        <w:rPr>
          <w:rFonts w:ascii="Times New Roman" w:eastAsia="Times New Roman" w:hAnsi="Times New Roman" w:cs="Times New Roman"/>
          <w:color w:val="222222"/>
        </w:rPr>
      </w:pPr>
    </w:p>
    <w:p w14:paraId="08872F16" w14:textId="32C70068" w:rsidR="00920329" w:rsidRPr="00DA0573" w:rsidRDefault="003205C4">
      <w:pPr>
        <w:rPr>
          <w:rFonts w:ascii="Times New Roman" w:hAnsi="Times New Roman" w:cs="Times New Roman"/>
          <w:b/>
          <w:bCs/>
        </w:rPr>
      </w:pPr>
      <w:r w:rsidRPr="00DA0573">
        <w:rPr>
          <w:rFonts w:ascii="Times New Roman" w:hAnsi="Times New Roman" w:cs="Times New Roman"/>
          <w:b/>
          <w:bCs/>
        </w:rPr>
        <w:t xml:space="preserve">Describe the process for disclosing </w:t>
      </w:r>
      <w:r w:rsidR="00090832" w:rsidRPr="00DA0573">
        <w:rPr>
          <w:rFonts w:ascii="Times New Roman" w:hAnsi="Times New Roman" w:cs="Times New Roman"/>
          <w:b/>
          <w:bCs/>
        </w:rPr>
        <w:t>plan documents that contain information about the processes, strategies, evidentiary standards and any other factors used to apply a NQTL</w:t>
      </w:r>
      <w:r w:rsidR="00BA065D" w:rsidRPr="00BA065D">
        <w:t xml:space="preserve"> </w:t>
      </w:r>
      <w:r w:rsidR="00BA065D" w:rsidRPr="00BA065D">
        <w:rPr>
          <w:rFonts w:ascii="Times New Roman" w:hAnsi="Times New Roman" w:cs="Times New Roman"/>
          <w:b/>
          <w:bCs/>
        </w:rPr>
        <w:t>for MH/SUD and M/S benefits</w:t>
      </w:r>
      <w:r w:rsidR="00090832" w:rsidRPr="00DA0573">
        <w:rPr>
          <w:rFonts w:ascii="Times New Roman" w:hAnsi="Times New Roman" w:cs="Times New Roman"/>
          <w:b/>
          <w:bCs/>
        </w:rPr>
        <w:t xml:space="preserve"> in </w:t>
      </w:r>
      <w:r w:rsidR="00306FE3" w:rsidRPr="00DA0573">
        <w:rPr>
          <w:rFonts w:ascii="Times New Roman" w:hAnsi="Times New Roman" w:cs="Times New Roman"/>
          <w:b/>
          <w:bCs/>
        </w:rPr>
        <w:t xml:space="preserve">connection with a member's request for group plan information </w:t>
      </w:r>
      <w:r w:rsidR="00090832" w:rsidRPr="00DA0573">
        <w:rPr>
          <w:rFonts w:ascii="Times New Roman" w:hAnsi="Times New Roman" w:cs="Times New Roman"/>
          <w:b/>
          <w:bCs/>
        </w:rPr>
        <w:t xml:space="preserve">and </w:t>
      </w:r>
      <w:r w:rsidR="00306FE3" w:rsidRPr="00DA0573">
        <w:rPr>
          <w:rFonts w:ascii="Times New Roman" w:hAnsi="Times New Roman" w:cs="Times New Roman"/>
          <w:b/>
          <w:bCs/>
        </w:rPr>
        <w:t>for purposes of filing an internal coverage or grievance matter and appeals.</w:t>
      </w:r>
      <w:r w:rsidR="00437996" w:rsidRPr="00DA0573">
        <w:rPr>
          <w:rFonts w:ascii="Times New Roman" w:hAnsi="Times New Roman" w:cs="Times New Roman"/>
          <w:b/>
          <w:bCs/>
        </w:rPr>
        <w:t xml:space="preserve">  </w:t>
      </w:r>
    </w:p>
    <w:p w14:paraId="4E0DEDB2" w14:textId="28F961BB" w:rsidR="001A48CE" w:rsidRPr="00DA0573" w:rsidRDefault="00095080" w:rsidP="001A48CE">
      <w:pPr>
        <w:pStyle w:val="NoSpacing"/>
        <w:numPr>
          <w:ilvl w:val="0"/>
          <w:numId w:val="24"/>
        </w:numPr>
        <w:rPr>
          <w:rFonts w:ascii="Times New Roman" w:hAnsi="Times New Roman" w:cs="Times New Roman"/>
        </w:rPr>
      </w:pPr>
      <w:r w:rsidRPr="00DA0573">
        <w:rPr>
          <w:rFonts w:ascii="Times New Roman" w:hAnsi="Times New Roman" w:cs="Times New Roman"/>
        </w:rPr>
        <w:t>A carrier</w:t>
      </w:r>
      <w:r w:rsidR="001A48CE" w:rsidRPr="00DA0573">
        <w:rPr>
          <w:rFonts w:ascii="Times New Roman" w:hAnsi="Times New Roman" w:cs="Times New Roman"/>
        </w:rPr>
        <w:t xml:space="preserve"> shall report how its procedures </w:t>
      </w:r>
      <w:r w:rsidR="002439F7" w:rsidRPr="00DA0573">
        <w:rPr>
          <w:rFonts w:ascii="Times New Roman" w:hAnsi="Times New Roman" w:cs="Times New Roman"/>
        </w:rPr>
        <w:t>ensure that the following information is disclosed</w:t>
      </w:r>
      <w:r w:rsidR="001A48CE" w:rsidRPr="00DA0573">
        <w:rPr>
          <w:rFonts w:ascii="Times New Roman" w:hAnsi="Times New Roman" w:cs="Times New Roman"/>
        </w:rPr>
        <w:t xml:space="preserve">: </w:t>
      </w:r>
    </w:p>
    <w:p w14:paraId="7676B138" w14:textId="5DC7DB39" w:rsidR="001A48CE" w:rsidRPr="00DA0573" w:rsidRDefault="001A48CE" w:rsidP="001A48CE">
      <w:pPr>
        <w:pStyle w:val="ListParagraph"/>
        <w:numPr>
          <w:ilvl w:val="1"/>
          <w:numId w:val="24"/>
        </w:numPr>
        <w:rPr>
          <w:rFonts w:ascii="Times New Roman" w:hAnsi="Times New Roman" w:cs="Times New Roman"/>
        </w:rPr>
      </w:pPr>
      <w:r w:rsidRPr="00DA0573">
        <w:rPr>
          <w:rFonts w:ascii="Times New Roman" w:hAnsi="Times New Roman" w:cs="Times New Roman"/>
        </w:rPr>
        <w:t>any information regarding NQTLs that apply to MH/SUD and/or medical/surgical benefits offered under the applicable plan.</w:t>
      </w:r>
    </w:p>
    <w:p w14:paraId="20E7E8D9" w14:textId="77777777" w:rsidR="001A48CE" w:rsidRPr="00DA0573" w:rsidRDefault="001A48CE" w:rsidP="001A48CE">
      <w:pPr>
        <w:pStyle w:val="ListParagraph"/>
        <w:numPr>
          <w:ilvl w:val="1"/>
          <w:numId w:val="24"/>
        </w:numPr>
        <w:rPr>
          <w:rFonts w:ascii="Times New Roman" w:hAnsi="Times New Roman" w:cs="Times New Roman"/>
        </w:rPr>
      </w:pPr>
      <w:r w:rsidRPr="00DA0573">
        <w:rPr>
          <w:rFonts w:ascii="Times New Roman" w:hAnsi="Times New Roman" w:cs="Times New Roman"/>
        </w:rPr>
        <w:t>any records documenting NQTL processes and how the NQTLs are being applied to both medical/surgical and MH/SUD benefits under any applicable plan.</w:t>
      </w:r>
    </w:p>
    <w:p w14:paraId="7BDC828D" w14:textId="02270D31" w:rsidR="001A48CE" w:rsidRPr="00DA0573" w:rsidRDefault="001A48CE" w:rsidP="001A48CE">
      <w:pPr>
        <w:pStyle w:val="ListParagraph"/>
        <w:numPr>
          <w:ilvl w:val="1"/>
          <w:numId w:val="24"/>
        </w:numPr>
        <w:rPr>
          <w:rFonts w:ascii="Times New Roman" w:hAnsi="Times New Roman" w:cs="Times New Roman"/>
        </w:rPr>
      </w:pPr>
      <w:r w:rsidRPr="00DA0573">
        <w:rPr>
          <w:rFonts w:ascii="Times New Roman" w:hAnsi="Times New Roman" w:cs="Times New Roman"/>
        </w:rPr>
        <w:t xml:space="preserve">any available details as to how the standards were applied, and any internal testing, review, or analysis done by the applicable plan to support the rationale that the NQTL is being applied comparably and no more stringently to MH/SUD benefits than medical/surgical benefits. </w:t>
      </w:r>
    </w:p>
    <w:p w14:paraId="3B41FE49" w14:textId="1327BC7D" w:rsidR="001A48CE" w:rsidRPr="00DA0573" w:rsidRDefault="001A48CE" w:rsidP="001A48CE">
      <w:pPr>
        <w:pStyle w:val="NoSpacing"/>
        <w:ind w:left="1080"/>
        <w:rPr>
          <w:rFonts w:ascii="Times New Roman" w:hAnsi="Times New Roman" w:cs="Times New Roman"/>
        </w:rPr>
      </w:pPr>
    </w:p>
    <w:p w14:paraId="1EFA5E2B" w14:textId="445F2698" w:rsidR="007666F1" w:rsidRPr="00DA0573" w:rsidRDefault="00095080" w:rsidP="001A48CE">
      <w:pPr>
        <w:pStyle w:val="NoSpacing"/>
        <w:numPr>
          <w:ilvl w:val="0"/>
          <w:numId w:val="24"/>
        </w:numPr>
        <w:rPr>
          <w:rFonts w:ascii="Times New Roman" w:hAnsi="Times New Roman" w:cs="Times New Roman"/>
        </w:rPr>
      </w:pPr>
      <w:r w:rsidRPr="00DA0573">
        <w:rPr>
          <w:rFonts w:ascii="Times New Roman" w:hAnsi="Times New Roman" w:cs="Times New Roman"/>
        </w:rPr>
        <w:lastRenderedPageBreak/>
        <w:t>A carrier</w:t>
      </w:r>
      <w:r w:rsidR="007666F1" w:rsidRPr="00DA0573">
        <w:rPr>
          <w:rFonts w:ascii="Times New Roman" w:hAnsi="Times New Roman" w:cs="Times New Roman"/>
        </w:rPr>
        <w:t xml:space="preserve"> shall report </w:t>
      </w:r>
      <w:r w:rsidRPr="00DA0573">
        <w:rPr>
          <w:rFonts w:ascii="Times New Roman" w:hAnsi="Times New Roman" w:cs="Times New Roman"/>
        </w:rPr>
        <w:t xml:space="preserve">how its procedures ensure that </w:t>
      </w:r>
      <w:r w:rsidR="007666F1" w:rsidRPr="00DA0573">
        <w:rPr>
          <w:rFonts w:ascii="Times New Roman" w:hAnsi="Times New Roman" w:cs="Times New Roman"/>
        </w:rPr>
        <w:t>any plan materials related to the plan’s compliance with MHPAEA</w:t>
      </w:r>
      <w:r w:rsidRPr="00DA0573">
        <w:rPr>
          <w:rFonts w:ascii="Times New Roman" w:hAnsi="Times New Roman" w:cs="Times New Roman"/>
        </w:rPr>
        <w:t xml:space="preserve"> are disclosed</w:t>
      </w:r>
      <w:r w:rsidR="00D5387C">
        <w:rPr>
          <w:rFonts w:ascii="Times New Roman" w:hAnsi="Times New Roman" w:cs="Times New Roman"/>
        </w:rPr>
        <w:t xml:space="preserve"> in compliance with 45 C.F.R § 146.136</w:t>
      </w:r>
      <w:r w:rsidR="007666F1" w:rsidRPr="00DA0573">
        <w:rPr>
          <w:rFonts w:ascii="Times New Roman" w:hAnsi="Times New Roman" w:cs="Times New Roman"/>
        </w:rPr>
        <w:t xml:space="preserve">, including the following: </w:t>
      </w:r>
    </w:p>
    <w:p w14:paraId="624B950B" w14:textId="104AE271" w:rsidR="008C797D" w:rsidRPr="00DA0573" w:rsidRDefault="008C797D" w:rsidP="001A48CE">
      <w:pPr>
        <w:pStyle w:val="ListParagraph"/>
        <w:numPr>
          <w:ilvl w:val="1"/>
          <w:numId w:val="24"/>
        </w:numPr>
        <w:rPr>
          <w:rFonts w:ascii="Times New Roman" w:hAnsi="Times New Roman" w:cs="Times New Roman"/>
        </w:rPr>
      </w:pPr>
      <w:r w:rsidRPr="00DA0573">
        <w:rPr>
          <w:rFonts w:ascii="Times New Roman" w:hAnsi="Times New Roman" w:cs="Times New Roman"/>
        </w:rPr>
        <w:t xml:space="preserve">any references to provisions as stated on specified pages of </w:t>
      </w:r>
      <w:r w:rsidR="00D5387C">
        <w:rPr>
          <w:rFonts w:ascii="Times New Roman" w:hAnsi="Times New Roman" w:cs="Times New Roman"/>
        </w:rPr>
        <w:t>the policy or certificate</w:t>
      </w:r>
      <w:r w:rsidRPr="00DA0573">
        <w:rPr>
          <w:rFonts w:ascii="Times New Roman" w:hAnsi="Times New Roman" w:cs="Times New Roman"/>
        </w:rPr>
        <w:t xml:space="preserve">, or other underlying guidelines or criteria not included in the </w:t>
      </w:r>
      <w:r w:rsidR="00D5387C">
        <w:rPr>
          <w:rFonts w:ascii="Times New Roman" w:hAnsi="Times New Roman" w:cs="Times New Roman"/>
        </w:rPr>
        <w:t>policy or certificate</w:t>
      </w:r>
      <w:r w:rsidR="00D5387C" w:rsidRPr="00DA0573">
        <w:rPr>
          <w:rFonts w:ascii="Times New Roman" w:hAnsi="Times New Roman" w:cs="Times New Roman"/>
        </w:rPr>
        <w:t xml:space="preserve"> </w:t>
      </w:r>
      <w:r w:rsidRPr="00DA0573">
        <w:rPr>
          <w:rFonts w:ascii="Times New Roman" w:hAnsi="Times New Roman" w:cs="Times New Roman"/>
        </w:rPr>
        <w:t>that the plan has consulted or relied upon;</w:t>
      </w:r>
    </w:p>
    <w:p w14:paraId="0F43E3B6" w14:textId="5E3C1223" w:rsidR="00893CE1" w:rsidRPr="00DA0573" w:rsidRDefault="008C797D" w:rsidP="00893CE1">
      <w:pPr>
        <w:pStyle w:val="ListParagraph"/>
        <w:numPr>
          <w:ilvl w:val="1"/>
          <w:numId w:val="24"/>
        </w:numPr>
        <w:rPr>
          <w:rFonts w:ascii="Times New Roman" w:hAnsi="Times New Roman" w:cs="Times New Roman"/>
        </w:rPr>
      </w:pPr>
      <w:r w:rsidRPr="00DA0573">
        <w:rPr>
          <w:rFonts w:ascii="Times New Roman" w:hAnsi="Times New Roman" w:cs="Times New Roman"/>
        </w:rPr>
        <w:t xml:space="preserve">any </w:t>
      </w:r>
      <w:r w:rsidR="002052F6">
        <w:rPr>
          <w:rFonts w:ascii="Times New Roman" w:hAnsi="Times New Roman" w:cs="Times New Roman"/>
        </w:rPr>
        <w:t>i</w:t>
      </w:r>
      <w:r w:rsidRPr="00DA0573">
        <w:rPr>
          <w:rFonts w:ascii="Times New Roman" w:hAnsi="Times New Roman" w:cs="Times New Roman"/>
        </w:rPr>
        <w:t>nformation regarding</w:t>
      </w:r>
      <w:r w:rsidR="00893CE1" w:rsidRPr="00DA0573">
        <w:rPr>
          <w:rFonts w:ascii="Times New Roman" w:hAnsi="Times New Roman" w:cs="Times New Roman"/>
        </w:rPr>
        <w:t xml:space="preserve"> specific related factors or guidelines, such as applicable utilization review criteria;  </w:t>
      </w:r>
    </w:p>
    <w:p w14:paraId="6F0EA87E" w14:textId="4C28D965" w:rsidR="008C797D" w:rsidRPr="00DA0573" w:rsidRDefault="00893CE1" w:rsidP="001A48CE">
      <w:pPr>
        <w:pStyle w:val="ListParagraph"/>
        <w:numPr>
          <w:ilvl w:val="1"/>
          <w:numId w:val="24"/>
        </w:numPr>
        <w:rPr>
          <w:rFonts w:ascii="Times New Roman" w:hAnsi="Times New Roman" w:cs="Times New Roman"/>
        </w:rPr>
      </w:pPr>
      <w:r w:rsidRPr="00DA0573">
        <w:rPr>
          <w:rFonts w:ascii="Times New Roman" w:hAnsi="Times New Roman" w:cs="Times New Roman"/>
        </w:rPr>
        <w:t xml:space="preserve">any </w:t>
      </w:r>
      <w:r w:rsidR="008C797D" w:rsidRPr="00DA0573">
        <w:rPr>
          <w:rFonts w:ascii="Times New Roman" w:hAnsi="Times New Roman" w:cs="Times New Roman"/>
        </w:rPr>
        <w:t xml:space="preserve">factors, such as cost or recommended standards of care, that are relied upon by an applicable plan for determining which </w:t>
      </w:r>
      <w:r w:rsidR="00A224F6">
        <w:rPr>
          <w:rFonts w:ascii="Times New Roman" w:hAnsi="Times New Roman" w:cs="Times New Roman"/>
        </w:rPr>
        <w:t xml:space="preserve">M/S </w:t>
      </w:r>
      <w:r w:rsidR="008C797D" w:rsidRPr="00DA0573">
        <w:rPr>
          <w:rFonts w:ascii="Times New Roman" w:hAnsi="Times New Roman" w:cs="Times New Roman"/>
        </w:rPr>
        <w:t>or MH/SUD benefits are subject to a specific requirement or limitation</w:t>
      </w:r>
      <w:r w:rsidRPr="00DA0573">
        <w:rPr>
          <w:rFonts w:ascii="Times New Roman" w:hAnsi="Times New Roman" w:cs="Times New Roman"/>
        </w:rPr>
        <w:t>;</w:t>
      </w:r>
      <w:r w:rsidR="008C797D" w:rsidRPr="00DA0573">
        <w:rPr>
          <w:rFonts w:ascii="Times New Roman" w:hAnsi="Times New Roman" w:cs="Times New Roman"/>
        </w:rPr>
        <w:t xml:space="preserve">  </w:t>
      </w:r>
    </w:p>
    <w:p w14:paraId="07E55D3B" w14:textId="44A913B6" w:rsidR="008C797D" w:rsidRPr="00DA0573" w:rsidRDefault="00893CE1" w:rsidP="001A48CE">
      <w:pPr>
        <w:pStyle w:val="ListParagraph"/>
        <w:numPr>
          <w:ilvl w:val="1"/>
          <w:numId w:val="24"/>
        </w:numPr>
        <w:rPr>
          <w:rFonts w:ascii="Times New Roman" w:hAnsi="Times New Roman" w:cs="Times New Roman"/>
        </w:rPr>
      </w:pPr>
      <w:r w:rsidRPr="00DA0573">
        <w:rPr>
          <w:rFonts w:ascii="Times New Roman" w:hAnsi="Times New Roman" w:cs="Times New Roman"/>
        </w:rPr>
        <w:t>a</w:t>
      </w:r>
      <w:r w:rsidR="008C797D" w:rsidRPr="00DA0573">
        <w:rPr>
          <w:rFonts w:ascii="Times New Roman" w:hAnsi="Times New Roman" w:cs="Times New Roman"/>
        </w:rPr>
        <w:t xml:space="preserve"> description of the applicable requirement or limitation that the</w:t>
      </w:r>
      <w:r w:rsidRPr="00DA0573">
        <w:rPr>
          <w:rFonts w:ascii="Times New Roman" w:hAnsi="Times New Roman" w:cs="Times New Roman"/>
        </w:rPr>
        <w:t xml:space="preserve"> applicable</w:t>
      </w:r>
      <w:r w:rsidR="008C797D" w:rsidRPr="00DA0573">
        <w:rPr>
          <w:rFonts w:ascii="Times New Roman" w:hAnsi="Times New Roman" w:cs="Times New Roman"/>
        </w:rPr>
        <w:t xml:space="preserve"> plan believes has been used in any given MH/SUD service adverse </w:t>
      </w:r>
      <w:r w:rsidR="00D5387C">
        <w:rPr>
          <w:rFonts w:ascii="Times New Roman" w:hAnsi="Times New Roman" w:cs="Times New Roman"/>
        </w:rPr>
        <w:t>decision</w:t>
      </w:r>
      <w:r w:rsidR="008C797D" w:rsidRPr="00DA0573">
        <w:rPr>
          <w:rFonts w:ascii="Times New Roman" w:hAnsi="Times New Roman" w:cs="Times New Roman"/>
        </w:rPr>
        <w:t xml:space="preserve"> within the relevant classification; and</w:t>
      </w:r>
    </w:p>
    <w:p w14:paraId="63472BAA" w14:textId="234C4915" w:rsidR="00BE63F0" w:rsidRPr="00DA0573" w:rsidRDefault="00893CE1" w:rsidP="001537A5">
      <w:pPr>
        <w:pStyle w:val="ListParagraph"/>
        <w:numPr>
          <w:ilvl w:val="1"/>
          <w:numId w:val="24"/>
        </w:numPr>
        <w:rPr>
          <w:rFonts w:ascii="Times New Roman" w:hAnsi="Times New Roman" w:cs="Times New Roman"/>
        </w:rPr>
      </w:pPr>
      <w:r w:rsidRPr="00DA0573">
        <w:rPr>
          <w:rFonts w:ascii="Times New Roman" w:hAnsi="Times New Roman" w:cs="Times New Roman"/>
        </w:rPr>
        <w:t>the m</w:t>
      </w:r>
      <w:r w:rsidR="008C797D" w:rsidRPr="00DA0573">
        <w:rPr>
          <w:rFonts w:ascii="Times New Roman" w:hAnsi="Times New Roman" w:cs="Times New Roman"/>
        </w:rPr>
        <w:t>edical necessity guidelines relied upon for in- and out-of-network medical/surgical and</w:t>
      </w:r>
      <w:r w:rsidR="00782D6B" w:rsidRPr="00DA0573">
        <w:rPr>
          <w:rFonts w:ascii="Times New Roman" w:hAnsi="Times New Roman" w:cs="Times New Roman"/>
        </w:rPr>
        <w:t xml:space="preserve"> </w:t>
      </w:r>
      <w:r w:rsidR="008C797D" w:rsidRPr="00DA0573">
        <w:rPr>
          <w:rFonts w:ascii="Times New Roman" w:hAnsi="Times New Roman" w:cs="Times New Roman"/>
        </w:rPr>
        <w:t>MH/SUD</w:t>
      </w:r>
      <w:r w:rsidR="00782D6B" w:rsidRPr="00DA0573">
        <w:rPr>
          <w:rFonts w:ascii="Times New Roman" w:hAnsi="Times New Roman" w:cs="Times New Roman"/>
        </w:rPr>
        <w:t xml:space="preserve"> </w:t>
      </w:r>
      <w:r w:rsidR="008C797D" w:rsidRPr="00DA0573">
        <w:rPr>
          <w:rFonts w:ascii="Times New Roman" w:hAnsi="Times New Roman" w:cs="Times New Roman"/>
        </w:rPr>
        <w:t>benefits.</w:t>
      </w:r>
    </w:p>
    <w:p w14:paraId="22E2494D" w14:textId="7F03AB2D" w:rsidR="00E7769A" w:rsidRDefault="00E7769A" w:rsidP="00DA0573">
      <w:pPr>
        <w:pStyle w:val="ListParagraph"/>
        <w:ind w:left="1800"/>
        <w:rPr>
          <w:rFonts w:ascii="Times New Roman" w:hAnsi="Times New Roman" w:cs="Times New Roman"/>
        </w:rPr>
      </w:pPr>
    </w:p>
    <w:p w14:paraId="4ACACFC3" w14:textId="44730969" w:rsidR="00BE63F0" w:rsidRDefault="00165496" w:rsidP="00165496">
      <w:pPr>
        <w:pStyle w:val="ListParagraph"/>
        <w:numPr>
          <w:ilvl w:val="0"/>
          <w:numId w:val="42"/>
        </w:numPr>
        <w:rPr>
          <w:rFonts w:ascii="Times New Roman" w:hAnsi="Times New Roman" w:cs="Times New Roman"/>
        </w:rPr>
      </w:pPr>
      <w:r>
        <w:rPr>
          <w:rFonts w:ascii="Times New Roman" w:hAnsi="Times New Roman" w:cs="Times New Roman"/>
        </w:rPr>
        <w:t xml:space="preserve">A carrier shall provide a list of the responses provided in the prior calendar year to requests from a member or a member’s authorized representative for a copy of the NQTL comparative analysis.  The actual responses </w:t>
      </w:r>
      <w:r w:rsidR="00E758DC">
        <w:rPr>
          <w:rFonts w:ascii="Times New Roman" w:hAnsi="Times New Roman" w:cs="Times New Roman"/>
        </w:rPr>
        <w:t xml:space="preserve">are not required to be included with the initial submission, but </w:t>
      </w:r>
      <w:r>
        <w:rPr>
          <w:rFonts w:ascii="Times New Roman" w:hAnsi="Times New Roman" w:cs="Times New Roman"/>
        </w:rPr>
        <w:t xml:space="preserve">shall be available </w:t>
      </w:r>
      <w:r w:rsidR="00E758DC">
        <w:rPr>
          <w:rFonts w:ascii="Times New Roman" w:hAnsi="Times New Roman" w:cs="Times New Roman"/>
        </w:rPr>
        <w:t xml:space="preserve">to the Commissioner </w:t>
      </w:r>
      <w:r>
        <w:rPr>
          <w:rFonts w:ascii="Times New Roman" w:hAnsi="Times New Roman" w:cs="Times New Roman"/>
        </w:rPr>
        <w:t>upon request</w:t>
      </w:r>
      <w:r w:rsidR="00E758DC">
        <w:rPr>
          <w:rFonts w:ascii="Times New Roman" w:hAnsi="Times New Roman" w:cs="Times New Roman"/>
        </w:rPr>
        <w:t>.</w:t>
      </w:r>
    </w:p>
    <w:p w14:paraId="3EE86E1E" w14:textId="7A43536C" w:rsidR="00BE63F0" w:rsidRDefault="00BE63F0" w:rsidP="00DA0573">
      <w:pPr>
        <w:pStyle w:val="ListParagraph"/>
        <w:ind w:left="1800"/>
        <w:rPr>
          <w:rFonts w:ascii="Times New Roman" w:hAnsi="Times New Roman" w:cs="Times New Roman"/>
        </w:rPr>
      </w:pPr>
    </w:p>
    <w:p w14:paraId="03E453F8" w14:textId="3B30E8E1" w:rsidR="00BE63F0" w:rsidRDefault="00BE63F0" w:rsidP="00DA0573">
      <w:pPr>
        <w:pStyle w:val="ListParagraph"/>
        <w:ind w:left="1800"/>
        <w:rPr>
          <w:rFonts w:ascii="Times New Roman" w:hAnsi="Times New Roman" w:cs="Times New Roman"/>
        </w:rPr>
      </w:pPr>
    </w:p>
    <w:p w14:paraId="76ACE96E" w14:textId="75F6358F" w:rsidR="003A3FC9" w:rsidRDefault="003A3FC9" w:rsidP="00DA0573">
      <w:pPr>
        <w:pStyle w:val="ListParagraph"/>
        <w:ind w:left="1800"/>
        <w:rPr>
          <w:rFonts w:ascii="Times New Roman" w:hAnsi="Times New Roman" w:cs="Times New Roman"/>
        </w:rPr>
      </w:pPr>
    </w:p>
    <w:p w14:paraId="0171A14B" w14:textId="46EBA226" w:rsidR="003A3FC9" w:rsidRDefault="003A3FC9" w:rsidP="00DA0573">
      <w:pPr>
        <w:pStyle w:val="ListParagraph"/>
        <w:ind w:left="1800"/>
        <w:rPr>
          <w:rFonts w:ascii="Times New Roman" w:hAnsi="Times New Roman" w:cs="Times New Roman"/>
        </w:rPr>
      </w:pPr>
    </w:p>
    <w:p w14:paraId="58B873CE" w14:textId="4C9EE418" w:rsidR="003A3FC9" w:rsidRDefault="003A3FC9" w:rsidP="00DA0573">
      <w:pPr>
        <w:pStyle w:val="ListParagraph"/>
        <w:ind w:left="1800"/>
        <w:rPr>
          <w:rFonts w:ascii="Times New Roman" w:hAnsi="Times New Roman" w:cs="Times New Roman"/>
        </w:rPr>
      </w:pPr>
    </w:p>
    <w:p w14:paraId="390D8A4B" w14:textId="27CBABE4" w:rsidR="003A3FC9" w:rsidRPr="005F70D1" w:rsidRDefault="003A3FC9" w:rsidP="003A3FC9">
      <w:pPr>
        <w:rPr>
          <w:rFonts w:ascii="Times New Roman" w:hAnsi="Times New Roman" w:cs="Times New Roman"/>
        </w:rPr>
      </w:pPr>
      <w:r>
        <w:rPr>
          <w:rFonts w:ascii="Times New Roman" w:hAnsi="Times New Roman" w:cs="Times New Roman"/>
          <w:b/>
          <w:bCs/>
        </w:rPr>
        <w:t xml:space="preserve">[Add </w:t>
      </w:r>
      <w:r w:rsidR="009060D8">
        <w:rPr>
          <w:rFonts w:ascii="Times New Roman" w:hAnsi="Times New Roman" w:cs="Times New Roman"/>
          <w:b/>
          <w:bCs/>
        </w:rPr>
        <w:t>Data Supplements 1</w:t>
      </w:r>
      <w:r w:rsidRPr="005F70D1">
        <w:rPr>
          <w:rFonts w:ascii="Times New Roman" w:hAnsi="Times New Roman" w:cs="Times New Roman"/>
          <w:b/>
          <w:bCs/>
        </w:rPr>
        <w:t xml:space="preserve"> – </w:t>
      </w:r>
      <w:r w:rsidR="009060D8">
        <w:rPr>
          <w:rFonts w:ascii="Times New Roman" w:hAnsi="Times New Roman" w:cs="Times New Roman"/>
          <w:b/>
          <w:bCs/>
        </w:rPr>
        <w:t>4</w:t>
      </w:r>
      <w:r>
        <w:rPr>
          <w:rFonts w:ascii="Times New Roman" w:hAnsi="Times New Roman" w:cs="Times New Roman"/>
          <w:b/>
          <w:bCs/>
        </w:rPr>
        <w:t xml:space="preserve"> here - which contain requests for</w:t>
      </w:r>
      <w:r w:rsidR="00FC778B">
        <w:rPr>
          <w:rFonts w:ascii="Times New Roman" w:hAnsi="Times New Roman" w:cs="Times New Roman"/>
          <w:b/>
          <w:bCs/>
        </w:rPr>
        <w:t xml:space="preserve"> additional required</w:t>
      </w:r>
      <w:r>
        <w:rPr>
          <w:rFonts w:ascii="Times New Roman" w:hAnsi="Times New Roman" w:cs="Times New Roman"/>
          <w:b/>
          <w:bCs/>
        </w:rPr>
        <w:t xml:space="preserve"> data </w:t>
      </w:r>
      <w:r w:rsidRPr="005F70D1">
        <w:rPr>
          <w:rFonts w:ascii="Times New Roman" w:hAnsi="Times New Roman" w:cs="Times New Roman"/>
          <w:b/>
          <w:bCs/>
        </w:rPr>
        <w:t xml:space="preserve">to </w:t>
      </w:r>
      <w:r>
        <w:rPr>
          <w:rFonts w:ascii="Times New Roman" w:hAnsi="Times New Roman" w:cs="Times New Roman"/>
          <w:b/>
          <w:bCs/>
        </w:rPr>
        <w:t xml:space="preserve">supplement the responses </w:t>
      </w:r>
      <w:r w:rsidRPr="005F70D1">
        <w:rPr>
          <w:rFonts w:ascii="Times New Roman" w:hAnsi="Times New Roman" w:cs="Times New Roman"/>
          <w:b/>
          <w:bCs/>
        </w:rPr>
        <w:t xml:space="preserve">provided in Step </w:t>
      </w:r>
      <w:r>
        <w:rPr>
          <w:rFonts w:ascii="Times New Roman" w:hAnsi="Times New Roman" w:cs="Times New Roman"/>
          <w:b/>
          <w:bCs/>
        </w:rPr>
        <w:t xml:space="preserve">5 of the NQTL </w:t>
      </w:r>
      <w:r w:rsidR="00A16A71">
        <w:rPr>
          <w:rFonts w:ascii="Times New Roman" w:hAnsi="Times New Roman" w:cs="Times New Roman"/>
          <w:b/>
          <w:bCs/>
        </w:rPr>
        <w:t xml:space="preserve">Analysis </w:t>
      </w:r>
      <w:r>
        <w:rPr>
          <w:rFonts w:ascii="Times New Roman" w:hAnsi="Times New Roman" w:cs="Times New Roman"/>
          <w:b/>
          <w:bCs/>
        </w:rPr>
        <w:t>Report</w:t>
      </w:r>
      <w:r w:rsidRPr="005F70D1">
        <w:rPr>
          <w:rFonts w:ascii="Times New Roman" w:hAnsi="Times New Roman" w:cs="Times New Roman"/>
          <w:b/>
          <w:bCs/>
        </w:rPr>
        <w:t>.</w:t>
      </w:r>
      <w:r>
        <w:rPr>
          <w:rFonts w:ascii="Times New Roman" w:hAnsi="Times New Roman" w:cs="Times New Roman"/>
          <w:b/>
          <w:bCs/>
        </w:rPr>
        <w:t>]</w:t>
      </w:r>
      <w:r w:rsidRPr="005F70D1">
        <w:rPr>
          <w:rFonts w:ascii="Times New Roman" w:hAnsi="Times New Roman" w:cs="Times New Roman"/>
          <w:b/>
          <w:bCs/>
        </w:rPr>
        <w:t xml:space="preserve"> </w:t>
      </w:r>
    </w:p>
    <w:p w14:paraId="06A150AD" w14:textId="759C7986" w:rsidR="003A3FC9" w:rsidRDefault="003A3FC9" w:rsidP="00DA0573">
      <w:pPr>
        <w:pStyle w:val="ListParagraph"/>
        <w:ind w:left="1800"/>
        <w:rPr>
          <w:rFonts w:ascii="Times New Roman" w:hAnsi="Times New Roman" w:cs="Times New Roman"/>
        </w:rPr>
      </w:pPr>
    </w:p>
    <w:p w14:paraId="42BF85B7" w14:textId="77777777" w:rsidR="00EA5B77" w:rsidRDefault="00EA5B77">
      <w:pPr>
        <w:rPr>
          <w:rFonts w:ascii="Times New Roman" w:hAnsi="Times New Roman" w:cs="Times New Roman"/>
          <w:b/>
          <w:bCs/>
        </w:rPr>
      </w:pPr>
      <w:r>
        <w:rPr>
          <w:rFonts w:ascii="Times New Roman" w:hAnsi="Times New Roman" w:cs="Times New Roman"/>
          <w:b/>
          <w:bCs/>
        </w:rPr>
        <w:br w:type="page"/>
      </w:r>
    </w:p>
    <w:p w14:paraId="3AE71B61" w14:textId="7460DB07" w:rsidR="001A54CF" w:rsidRDefault="001A54CF" w:rsidP="00DA0573">
      <w:pPr>
        <w:jc w:val="center"/>
        <w:rPr>
          <w:rFonts w:ascii="Times New Roman" w:hAnsi="Times New Roman" w:cs="Times New Roman"/>
          <w:b/>
          <w:bCs/>
        </w:rPr>
      </w:pPr>
      <w:r w:rsidRPr="00DA0573">
        <w:rPr>
          <w:rFonts w:ascii="Times New Roman" w:hAnsi="Times New Roman" w:cs="Times New Roman"/>
          <w:b/>
          <w:bCs/>
        </w:rPr>
        <w:lastRenderedPageBreak/>
        <w:t xml:space="preserve">MHPAEA Compliance Reporting for </w:t>
      </w:r>
      <w:r w:rsidR="00E759C5" w:rsidRPr="00DA0573">
        <w:rPr>
          <w:rFonts w:ascii="Times New Roman" w:hAnsi="Times New Roman" w:cs="Times New Roman"/>
          <w:b/>
          <w:bCs/>
        </w:rPr>
        <w:t>Data Report</w:t>
      </w:r>
    </w:p>
    <w:p w14:paraId="571F1D87" w14:textId="3579B458" w:rsidR="0023378D" w:rsidRPr="0023378D" w:rsidRDefault="0023378D" w:rsidP="0023378D">
      <w:pPr>
        <w:rPr>
          <w:rFonts w:ascii="Times New Roman" w:hAnsi="Times New Roman" w:cs="Times New Roman"/>
        </w:rPr>
      </w:pPr>
      <w:r w:rsidRPr="0023378D">
        <w:rPr>
          <w:rFonts w:ascii="Times New Roman" w:hAnsi="Times New Roman" w:cs="Times New Roman"/>
          <w:b/>
          <w:bCs/>
        </w:rPr>
        <w:t>Introduction</w:t>
      </w:r>
      <w:r w:rsidRPr="00DA0573">
        <w:rPr>
          <w:rFonts w:ascii="Times New Roman" w:hAnsi="Times New Roman" w:cs="Times New Roman"/>
          <w:bCs/>
        </w:rPr>
        <w:t xml:space="preserve">: </w:t>
      </w:r>
      <w:r w:rsidRPr="0023378D">
        <w:rPr>
          <w:rFonts w:ascii="Times New Roman" w:hAnsi="Times New Roman" w:cs="Times New Roman"/>
        </w:rPr>
        <w:t>Th</w:t>
      </w:r>
      <w:r w:rsidR="004A5C98">
        <w:rPr>
          <w:rFonts w:ascii="Times New Roman" w:hAnsi="Times New Roman" w:cs="Times New Roman"/>
        </w:rPr>
        <w:t>e</w:t>
      </w:r>
      <w:r w:rsidRPr="0023378D">
        <w:rPr>
          <w:rFonts w:ascii="Times New Roman" w:hAnsi="Times New Roman" w:cs="Times New Roman"/>
        </w:rPr>
        <w:t xml:space="preserve"> data collection tool is prepared to satisfy the requirements of §15-144, Insurance Article, Annotated Code of Maryland, to create a standard form for entities to submit the data report in accordance with subsection §15-144(f).</w:t>
      </w:r>
    </w:p>
    <w:p w14:paraId="5FBCA689" w14:textId="682A7FB8" w:rsidR="0023378D" w:rsidRPr="0023378D" w:rsidRDefault="0023378D" w:rsidP="0023378D">
      <w:pPr>
        <w:rPr>
          <w:rFonts w:ascii="Times New Roman" w:hAnsi="Times New Roman" w:cs="Times New Roman"/>
        </w:rPr>
      </w:pPr>
      <w:r w:rsidRPr="0023378D">
        <w:rPr>
          <w:rFonts w:ascii="Times New Roman" w:hAnsi="Times New Roman" w:cs="Times New Roman"/>
        </w:rPr>
        <w:t xml:space="preserve">Complete </w:t>
      </w:r>
      <w:r w:rsidR="00F821E2">
        <w:rPr>
          <w:rFonts w:ascii="Times New Roman" w:hAnsi="Times New Roman" w:cs="Times New Roman"/>
        </w:rPr>
        <w:t>data</w:t>
      </w:r>
      <w:r w:rsidR="00F821E2" w:rsidRPr="0023378D">
        <w:rPr>
          <w:rFonts w:ascii="Times New Roman" w:hAnsi="Times New Roman" w:cs="Times New Roman"/>
        </w:rPr>
        <w:t xml:space="preserve"> </w:t>
      </w:r>
      <w:r w:rsidRPr="0023378D">
        <w:rPr>
          <w:rFonts w:ascii="Times New Roman" w:hAnsi="Times New Roman" w:cs="Times New Roman"/>
        </w:rPr>
        <w:t xml:space="preserve">reports must include all data and information identified in COMAR </w:t>
      </w:r>
      <w:r w:rsidR="00081824">
        <w:rPr>
          <w:rFonts w:ascii="Times New Roman" w:hAnsi="Times New Roman" w:cs="Times New Roman"/>
        </w:rPr>
        <w:t>31.10.51</w:t>
      </w:r>
      <w:r w:rsidRPr="0023378D">
        <w:rPr>
          <w:rFonts w:ascii="Times New Roman" w:hAnsi="Times New Roman" w:cs="Times New Roman"/>
        </w:rPr>
        <w:t xml:space="preserve"> and in these instructions in the manner and format specified.  Failure to submit a complete report may result in administrative penalties as specified in § 15-144 of the Insurance Article.</w:t>
      </w:r>
      <w:bookmarkStart w:id="0" w:name="_GoBack"/>
      <w:bookmarkEnd w:id="0"/>
    </w:p>
    <w:p w14:paraId="634DB9DF" w14:textId="15819E9F" w:rsidR="0023378D" w:rsidRPr="0023378D" w:rsidRDefault="0023378D" w:rsidP="0023378D">
      <w:pPr>
        <w:rPr>
          <w:rFonts w:ascii="Times New Roman" w:hAnsi="Times New Roman" w:cs="Times New Roman"/>
        </w:rPr>
      </w:pPr>
      <w:r w:rsidRPr="0023378D">
        <w:rPr>
          <w:rFonts w:ascii="Times New Roman" w:hAnsi="Times New Roman" w:cs="Times New Roman"/>
        </w:rPr>
        <w:t xml:space="preserve">The terms in the instructions and the </w:t>
      </w:r>
      <w:r w:rsidR="00F821E2">
        <w:rPr>
          <w:rFonts w:ascii="Times New Roman" w:hAnsi="Times New Roman" w:cs="Times New Roman"/>
        </w:rPr>
        <w:t xml:space="preserve">data </w:t>
      </w:r>
      <w:r w:rsidRPr="0023378D">
        <w:rPr>
          <w:rFonts w:ascii="Times New Roman" w:hAnsi="Times New Roman" w:cs="Times New Roman"/>
        </w:rPr>
        <w:t xml:space="preserve">report are defined according to COMAR </w:t>
      </w:r>
      <w:r w:rsidR="00081824">
        <w:rPr>
          <w:rFonts w:ascii="Times New Roman" w:hAnsi="Times New Roman" w:cs="Times New Roman"/>
        </w:rPr>
        <w:t>31.10.51</w:t>
      </w:r>
      <w:r w:rsidRPr="0023378D">
        <w:rPr>
          <w:rFonts w:ascii="Times New Roman" w:hAnsi="Times New Roman" w:cs="Times New Roman"/>
        </w:rPr>
        <w:t>.</w:t>
      </w:r>
    </w:p>
    <w:p w14:paraId="316DCF8C" w14:textId="2CF3FC9A" w:rsidR="00E759C5" w:rsidRPr="00DA0573" w:rsidRDefault="0023378D" w:rsidP="00DA0573">
      <w:pPr>
        <w:rPr>
          <w:rFonts w:ascii="Times New Roman" w:hAnsi="Times New Roman" w:cs="Times New Roman"/>
          <w:b/>
          <w:u w:val="single"/>
        </w:rPr>
      </w:pPr>
      <w:r>
        <w:rPr>
          <w:rFonts w:ascii="Times New Roman" w:hAnsi="Times New Roman" w:cs="Times New Roman"/>
          <w:b/>
        </w:rPr>
        <w:t xml:space="preserve">Data </w:t>
      </w:r>
      <w:r>
        <w:rPr>
          <w:rFonts w:ascii="Times New Roman" w:hAnsi="Times New Roman" w:cs="Times New Roman"/>
          <w:b/>
          <w:bCs/>
        </w:rPr>
        <w:t xml:space="preserve">Report </w:t>
      </w:r>
      <w:r w:rsidR="00841D27">
        <w:rPr>
          <w:rFonts w:ascii="Times New Roman" w:hAnsi="Times New Roman" w:cs="Times New Roman"/>
          <w:b/>
          <w:bCs/>
        </w:rPr>
        <w:t xml:space="preserve">Template </w:t>
      </w:r>
      <w:r w:rsidRPr="00E34051">
        <w:rPr>
          <w:rFonts w:ascii="Times New Roman" w:hAnsi="Times New Roman" w:cs="Times New Roman"/>
          <w:b/>
          <w:bCs/>
        </w:rPr>
        <w:t>Completion Instructions</w:t>
      </w:r>
    </w:p>
    <w:p w14:paraId="2ED73E9B" w14:textId="679A0E87" w:rsidR="00E759C5" w:rsidRPr="00DA0573" w:rsidRDefault="00E759C5" w:rsidP="001537A5">
      <w:pPr>
        <w:pStyle w:val="ListParagraph"/>
        <w:numPr>
          <w:ilvl w:val="0"/>
          <w:numId w:val="37"/>
        </w:numPr>
        <w:rPr>
          <w:rFonts w:ascii="Times New Roman" w:hAnsi="Times New Roman" w:cs="Times New Roman"/>
        </w:rPr>
      </w:pPr>
      <w:r w:rsidRPr="00DA0573">
        <w:rPr>
          <w:rFonts w:ascii="Times New Roman" w:hAnsi="Times New Roman" w:cs="Times New Roman"/>
        </w:rPr>
        <w:t xml:space="preserve">Enter the health </w:t>
      </w:r>
      <w:r w:rsidR="00F821E2">
        <w:rPr>
          <w:rFonts w:ascii="Times New Roman" w:hAnsi="Times New Roman" w:cs="Times New Roman"/>
        </w:rPr>
        <w:t xml:space="preserve">benefit </w:t>
      </w:r>
      <w:r w:rsidRPr="00DA0573">
        <w:rPr>
          <w:rFonts w:ascii="Times New Roman" w:hAnsi="Times New Roman" w:cs="Times New Roman"/>
        </w:rPr>
        <w:t>plan name in the yellow cell next to “Health Plan.”</w:t>
      </w:r>
    </w:p>
    <w:p w14:paraId="6E5ABA2B" w14:textId="28059050" w:rsidR="00E759C5" w:rsidRPr="00DA0573" w:rsidRDefault="00E759C5" w:rsidP="001537A5">
      <w:pPr>
        <w:pStyle w:val="ListParagraph"/>
        <w:numPr>
          <w:ilvl w:val="0"/>
          <w:numId w:val="37"/>
        </w:numPr>
        <w:rPr>
          <w:rFonts w:ascii="Times New Roman" w:hAnsi="Times New Roman" w:cs="Times New Roman"/>
        </w:rPr>
      </w:pPr>
      <w:r w:rsidRPr="00DA0573">
        <w:rPr>
          <w:rFonts w:ascii="Times New Roman" w:hAnsi="Times New Roman" w:cs="Times New Roman"/>
        </w:rPr>
        <w:t xml:space="preserve">For the first table, enter the # of Authorization Requests Received, # of Authorization Requests Approved, and the # of Authorization Requests Denied for each of the classifications (INN-Inpatient, OON-Inpatient, Emergency Services, RX, INN-Outpatient-Office, OON-Outpatient-Office, INN-Outpatient-AllOther, and OON-Outpatient-AllOther) </w:t>
      </w:r>
      <w:r w:rsidR="00A16A71">
        <w:rPr>
          <w:rFonts w:ascii="Times New Roman" w:hAnsi="Times New Roman" w:cs="Times New Roman"/>
        </w:rPr>
        <w:t xml:space="preserve">for </w:t>
      </w:r>
      <w:r w:rsidRPr="00DA0573">
        <w:rPr>
          <w:rFonts w:ascii="Times New Roman" w:hAnsi="Times New Roman" w:cs="Times New Roman"/>
        </w:rPr>
        <w:t>mental health benefits, substance use disorder benefits, and medical/surgical benefits.</w:t>
      </w:r>
      <w:r w:rsidR="0007108D">
        <w:rPr>
          <w:rFonts w:ascii="Times New Roman" w:hAnsi="Times New Roman" w:cs="Times New Roman"/>
        </w:rPr>
        <w:t xml:space="preserve"> </w:t>
      </w:r>
    </w:p>
    <w:p w14:paraId="7101F091" w14:textId="5309D3C8" w:rsidR="00E759C5" w:rsidRPr="00DA0573" w:rsidRDefault="00E759C5" w:rsidP="00E759C5">
      <w:pPr>
        <w:pStyle w:val="ListParagraph"/>
        <w:numPr>
          <w:ilvl w:val="0"/>
          <w:numId w:val="37"/>
        </w:numPr>
        <w:rPr>
          <w:rFonts w:ascii="Times New Roman" w:hAnsi="Times New Roman" w:cs="Times New Roman"/>
        </w:rPr>
      </w:pPr>
      <w:r w:rsidRPr="00DA0573">
        <w:rPr>
          <w:rFonts w:ascii="Times New Roman" w:hAnsi="Times New Roman" w:cs="Times New Roman"/>
        </w:rPr>
        <w:t>For the second table, enter the # of Claims Submitted, # of Claims Approved, and # of Claims Denied for each</w:t>
      </w:r>
      <w:r w:rsidR="00A16A71">
        <w:rPr>
          <w:rFonts w:ascii="Times New Roman" w:hAnsi="Times New Roman" w:cs="Times New Roman"/>
        </w:rPr>
        <w:t xml:space="preserve"> of the</w:t>
      </w:r>
      <w:r w:rsidRPr="00DA0573">
        <w:rPr>
          <w:rFonts w:ascii="Times New Roman" w:hAnsi="Times New Roman" w:cs="Times New Roman"/>
        </w:rPr>
        <w:t xml:space="preserve"> classifications (INN-Inpatient, OON-Inpatient, Emergency Services, RX, INN-Outpatient-Office, OON-Outpatient-Office, INN-Outpatient-AllOther, and OON-Outpatient-AllOther) </w:t>
      </w:r>
      <w:r w:rsidR="00A16A71">
        <w:rPr>
          <w:rFonts w:ascii="Times New Roman" w:hAnsi="Times New Roman" w:cs="Times New Roman"/>
        </w:rPr>
        <w:t xml:space="preserve">for </w:t>
      </w:r>
      <w:r w:rsidRPr="00DA0573">
        <w:rPr>
          <w:rFonts w:ascii="Times New Roman" w:hAnsi="Times New Roman" w:cs="Times New Roman"/>
        </w:rPr>
        <w:t>mental health benefits, substance use disorder benefits, and medical/surgical benefits.</w:t>
      </w:r>
    </w:p>
    <w:p w14:paraId="511D6FDE" w14:textId="30CB637F" w:rsidR="003A3FC9" w:rsidRDefault="00E759C5" w:rsidP="003A3FC9">
      <w:pPr>
        <w:pStyle w:val="ListParagraph"/>
        <w:numPr>
          <w:ilvl w:val="0"/>
          <w:numId w:val="37"/>
        </w:numPr>
        <w:rPr>
          <w:rFonts w:ascii="Times New Roman" w:hAnsi="Times New Roman" w:cs="Times New Roman"/>
        </w:rPr>
      </w:pPr>
      <w:r w:rsidRPr="00DA0573">
        <w:rPr>
          <w:rFonts w:ascii="Times New Roman" w:hAnsi="Times New Roman" w:cs="Times New Roman"/>
        </w:rPr>
        <w:t xml:space="preserve">For the second table, also enter all of the applicable </w:t>
      </w:r>
      <w:r w:rsidR="00046A84">
        <w:rPr>
          <w:rFonts w:ascii="Times New Roman" w:hAnsi="Times New Roman" w:cs="Times New Roman"/>
        </w:rPr>
        <w:t>reasons</w:t>
      </w:r>
      <w:r w:rsidR="00046A84" w:rsidRPr="00DA0573">
        <w:rPr>
          <w:rFonts w:ascii="Times New Roman" w:hAnsi="Times New Roman" w:cs="Times New Roman"/>
        </w:rPr>
        <w:t xml:space="preserve"> </w:t>
      </w:r>
      <w:r w:rsidRPr="00DA0573">
        <w:rPr>
          <w:rFonts w:ascii="Times New Roman" w:hAnsi="Times New Roman" w:cs="Times New Roman"/>
        </w:rPr>
        <w:t xml:space="preserve">for denial of claims in the far right column for each benefit and each </w:t>
      </w:r>
      <w:r w:rsidR="00F821E2">
        <w:rPr>
          <w:rFonts w:ascii="Times New Roman" w:hAnsi="Times New Roman" w:cs="Times New Roman"/>
        </w:rPr>
        <w:t>of the</w:t>
      </w:r>
      <w:r w:rsidR="00E24D64">
        <w:rPr>
          <w:rFonts w:ascii="Times New Roman" w:hAnsi="Times New Roman" w:cs="Times New Roman"/>
        </w:rPr>
        <w:t xml:space="preserve"> </w:t>
      </w:r>
      <w:r w:rsidRPr="00DA0573">
        <w:rPr>
          <w:rFonts w:ascii="Times New Roman" w:hAnsi="Times New Roman" w:cs="Times New Roman"/>
        </w:rPr>
        <w:t>classification</w:t>
      </w:r>
      <w:r w:rsidR="00F821E2">
        <w:rPr>
          <w:rFonts w:ascii="Times New Roman" w:hAnsi="Times New Roman" w:cs="Times New Roman"/>
        </w:rPr>
        <w:t>s</w:t>
      </w:r>
      <w:r w:rsidRPr="00DA0573">
        <w:rPr>
          <w:rFonts w:ascii="Times New Roman" w:hAnsi="Times New Roman" w:cs="Times New Roman"/>
        </w:rPr>
        <w:t>.</w:t>
      </w:r>
      <w:r w:rsidR="0023378D">
        <w:rPr>
          <w:rFonts w:ascii="Times New Roman" w:hAnsi="Times New Roman" w:cs="Times New Roman"/>
        </w:rPr>
        <w:t xml:space="preserve">  C</w:t>
      </w:r>
      <w:r w:rsidR="0023378D" w:rsidRPr="0023378D">
        <w:rPr>
          <w:rFonts w:ascii="Times New Roman" w:hAnsi="Times New Roman" w:cs="Times New Roman"/>
        </w:rPr>
        <w:t xml:space="preserve">arriers shall </w:t>
      </w:r>
      <w:r w:rsidR="0023378D">
        <w:rPr>
          <w:rFonts w:ascii="Times New Roman" w:hAnsi="Times New Roman" w:cs="Times New Roman"/>
        </w:rPr>
        <w:t xml:space="preserve">also </w:t>
      </w:r>
      <w:r w:rsidR="0023378D" w:rsidRPr="0023378D">
        <w:rPr>
          <w:rFonts w:ascii="Times New Roman" w:hAnsi="Times New Roman" w:cs="Times New Roman"/>
        </w:rPr>
        <w:t xml:space="preserve">include a summary defining each applicable code </w:t>
      </w:r>
      <w:r w:rsidR="0023378D">
        <w:rPr>
          <w:rFonts w:ascii="Times New Roman" w:hAnsi="Times New Roman" w:cs="Times New Roman"/>
        </w:rPr>
        <w:t>liste</w:t>
      </w:r>
      <w:r w:rsidR="0023378D" w:rsidRPr="0023378D">
        <w:rPr>
          <w:rFonts w:ascii="Times New Roman" w:hAnsi="Times New Roman" w:cs="Times New Roman"/>
        </w:rPr>
        <w:t>d in this column.</w:t>
      </w:r>
    </w:p>
    <w:p w14:paraId="56D5808F" w14:textId="4701E8B5" w:rsidR="00FE5D88" w:rsidRDefault="00FE5D88" w:rsidP="003A3FC9">
      <w:pPr>
        <w:pStyle w:val="ListParagraph"/>
        <w:numPr>
          <w:ilvl w:val="0"/>
          <w:numId w:val="37"/>
        </w:numPr>
        <w:rPr>
          <w:rFonts w:ascii="Times New Roman" w:hAnsi="Times New Roman" w:cs="Times New Roman"/>
        </w:rPr>
      </w:pPr>
      <w:r>
        <w:rPr>
          <w:rFonts w:ascii="Times New Roman" w:hAnsi="Times New Roman" w:cs="Times New Roman"/>
        </w:rPr>
        <w:t>When reporting the data for each plan, if, for purposes of the corresponding NQTL analyses performed on the plan, a carrier has elected not to divide benefits furnished on an outpatient basis into the two sub-classifications described in 45 CFR § 146.136(c)(3)(iii)(C) for “office visits” and “all other outpatient items and services,” then the “INN-</w:t>
      </w:r>
      <w:r w:rsidRPr="0003149F">
        <w:rPr>
          <w:rFonts w:ascii="Times New Roman" w:hAnsi="Times New Roman" w:cs="Times New Roman"/>
        </w:rPr>
        <w:t>Outpatient-Office</w:t>
      </w:r>
      <w:r>
        <w:rPr>
          <w:rFonts w:ascii="Times New Roman" w:hAnsi="Times New Roman" w:cs="Times New Roman"/>
        </w:rPr>
        <w:t>” and “OON-Outpatient Office”</w:t>
      </w:r>
      <w:r w:rsidRPr="0003149F">
        <w:rPr>
          <w:rFonts w:ascii="Times New Roman" w:hAnsi="Times New Roman" w:cs="Times New Roman"/>
        </w:rPr>
        <w:t xml:space="preserve"> </w:t>
      </w:r>
      <w:r>
        <w:rPr>
          <w:rFonts w:ascii="Times New Roman" w:hAnsi="Times New Roman" w:cs="Times New Roman"/>
        </w:rPr>
        <w:t>categories shall be used to report data for the outpatient classification</w:t>
      </w:r>
      <w:r w:rsidRPr="0003149F">
        <w:rPr>
          <w:rFonts w:ascii="Times New Roman" w:hAnsi="Times New Roman" w:cs="Times New Roman"/>
        </w:rPr>
        <w:t xml:space="preserve"> </w:t>
      </w:r>
      <w:r>
        <w:rPr>
          <w:rFonts w:ascii="Times New Roman" w:hAnsi="Times New Roman" w:cs="Times New Roman"/>
        </w:rPr>
        <w:t>in general, and “N/A” shall be entered for the “</w:t>
      </w:r>
      <w:r w:rsidRPr="00DA0573">
        <w:rPr>
          <w:rFonts w:ascii="Times New Roman" w:hAnsi="Times New Roman" w:cs="Times New Roman"/>
        </w:rPr>
        <w:t>INN-Outpatient-AllOther</w:t>
      </w:r>
      <w:r>
        <w:rPr>
          <w:rFonts w:ascii="Times New Roman" w:hAnsi="Times New Roman" w:cs="Times New Roman"/>
        </w:rPr>
        <w:t>”</w:t>
      </w:r>
      <w:r w:rsidRPr="00DA0573">
        <w:rPr>
          <w:rFonts w:ascii="Times New Roman" w:hAnsi="Times New Roman" w:cs="Times New Roman"/>
        </w:rPr>
        <w:t xml:space="preserve"> and </w:t>
      </w:r>
      <w:r>
        <w:rPr>
          <w:rFonts w:ascii="Times New Roman" w:hAnsi="Times New Roman" w:cs="Times New Roman"/>
        </w:rPr>
        <w:t>“</w:t>
      </w:r>
      <w:r w:rsidRPr="00DA0573">
        <w:rPr>
          <w:rFonts w:ascii="Times New Roman" w:hAnsi="Times New Roman" w:cs="Times New Roman"/>
        </w:rPr>
        <w:t>OON-Outpatient-AllOther</w:t>
      </w:r>
      <w:r>
        <w:rPr>
          <w:rFonts w:ascii="Times New Roman" w:hAnsi="Times New Roman" w:cs="Times New Roman"/>
        </w:rPr>
        <w:t>” categories.</w:t>
      </w:r>
    </w:p>
    <w:p w14:paraId="6A2E6299" w14:textId="338B6F0B" w:rsidR="0007108D" w:rsidRPr="00DA0573" w:rsidRDefault="0007108D" w:rsidP="0007108D">
      <w:pPr>
        <w:pStyle w:val="ListParagraph"/>
        <w:numPr>
          <w:ilvl w:val="0"/>
          <w:numId w:val="37"/>
        </w:numPr>
        <w:rPr>
          <w:rFonts w:ascii="Times New Roman" w:hAnsi="Times New Roman" w:cs="Times New Roman"/>
        </w:rPr>
      </w:pPr>
      <w:r w:rsidRPr="0007108D">
        <w:rPr>
          <w:rFonts w:ascii="Times New Roman" w:hAnsi="Times New Roman" w:cs="Times New Roman"/>
        </w:rPr>
        <w:t xml:space="preserve">In counting the </w:t>
      </w:r>
      <w:r w:rsidR="00FE5D88" w:rsidRPr="00DA0573">
        <w:rPr>
          <w:rFonts w:ascii="Times New Roman" w:hAnsi="Times New Roman" w:cs="Times New Roman"/>
        </w:rPr>
        <w:t># of Authorization Requests Received</w:t>
      </w:r>
      <w:r w:rsidR="00FE5D88">
        <w:rPr>
          <w:rFonts w:ascii="Times New Roman" w:hAnsi="Times New Roman" w:cs="Times New Roman"/>
        </w:rPr>
        <w:t xml:space="preserve"> and </w:t>
      </w:r>
      <w:r w:rsidR="00FE5D88" w:rsidRPr="00DA0573">
        <w:rPr>
          <w:rFonts w:ascii="Times New Roman" w:hAnsi="Times New Roman" w:cs="Times New Roman"/>
        </w:rPr>
        <w:t>the # of Claims Submitted</w:t>
      </w:r>
      <w:r w:rsidRPr="0007108D">
        <w:rPr>
          <w:rFonts w:ascii="Times New Roman" w:hAnsi="Times New Roman" w:cs="Times New Roman"/>
        </w:rPr>
        <w:t>, use the number of requests received</w:t>
      </w:r>
      <w:r w:rsidR="00EA5B77">
        <w:rPr>
          <w:rFonts w:ascii="Times New Roman" w:hAnsi="Times New Roman" w:cs="Times New Roman"/>
        </w:rPr>
        <w:t xml:space="preserve"> or</w:t>
      </w:r>
      <w:r w:rsidR="006154D3">
        <w:rPr>
          <w:rFonts w:ascii="Times New Roman" w:hAnsi="Times New Roman" w:cs="Times New Roman"/>
        </w:rPr>
        <w:t xml:space="preserve"> </w:t>
      </w:r>
      <w:r w:rsidR="00FE5D88">
        <w:rPr>
          <w:rFonts w:ascii="Times New Roman" w:hAnsi="Times New Roman" w:cs="Times New Roman"/>
        </w:rPr>
        <w:t>claims</w:t>
      </w:r>
      <w:r w:rsidR="00EA5B77">
        <w:rPr>
          <w:rFonts w:ascii="Times New Roman" w:hAnsi="Times New Roman" w:cs="Times New Roman"/>
        </w:rPr>
        <w:t xml:space="preserve"> lines (e.g. CPT code)</w:t>
      </w:r>
      <w:r w:rsidR="00FE5D88">
        <w:rPr>
          <w:rFonts w:ascii="Times New Roman" w:hAnsi="Times New Roman" w:cs="Times New Roman"/>
        </w:rPr>
        <w:t xml:space="preserve"> submitted</w:t>
      </w:r>
      <w:r w:rsidRPr="0007108D">
        <w:rPr>
          <w:rFonts w:ascii="Times New Roman" w:hAnsi="Times New Roman" w:cs="Times New Roman"/>
        </w:rPr>
        <w:t xml:space="preserve"> during the prior calendar year. The number of </w:t>
      </w:r>
      <w:r w:rsidR="00FE5D88">
        <w:rPr>
          <w:rFonts w:ascii="Times New Roman" w:hAnsi="Times New Roman" w:cs="Times New Roman"/>
        </w:rPr>
        <w:t>approvals and denials</w:t>
      </w:r>
      <w:r w:rsidRPr="0007108D">
        <w:rPr>
          <w:rFonts w:ascii="Times New Roman" w:hAnsi="Times New Roman" w:cs="Times New Roman"/>
        </w:rPr>
        <w:t xml:space="preserve"> shall be those arising from the reported requests</w:t>
      </w:r>
      <w:r w:rsidR="00FE5D88">
        <w:rPr>
          <w:rFonts w:ascii="Times New Roman" w:hAnsi="Times New Roman" w:cs="Times New Roman"/>
        </w:rPr>
        <w:t xml:space="preserve"> and claims</w:t>
      </w:r>
      <w:r w:rsidRPr="0007108D">
        <w:rPr>
          <w:rFonts w:ascii="Times New Roman" w:hAnsi="Times New Roman" w:cs="Times New Roman"/>
        </w:rPr>
        <w:t>.</w:t>
      </w:r>
    </w:p>
    <w:sectPr w:rsidR="0007108D" w:rsidRPr="00DA0573">
      <w:foot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7B6BA" w16cex:dateUtc="2021-07-25T14:08:00Z"/>
  <w16cex:commentExtensible w16cex:durableId="24A7B906" w16cex:dateUtc="2021-07-25T14:18:00Z"/>
  <w16cex:commentExtensible w16cex:durableId="24A7BC03" w16cex:dateUtc="2021-07-25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ADEEC9" w16cid:durableId="24A7B6BA"/>
  <w16cid:commentId w16cid:paraId="583DC8C1" w16cid:durableId="24A7B1A1"/>
  <w16cid:commentId w16cid:paraId="6BEA61E3" w16cid:durableId="24A7B1A2"/>
  <w16cid:commentId w16cid:paraId="4C994087" w16cid:durableId="24A7B906"/>
  <w16cid:commentId w16cid:paraId="4BFA4257" w16cid:durableId="24A7B1A3"/>
  <w16cid:commentId w16cid:paraId="10E486E3" w16cid:durableId="24A7B1A4"/>
  <w16cid:commentId w16cid:paraId="19618CCF" w16cid:durableId="24A7BC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16CBB" w14:textId="77777777" w:rsidR="0087515B" w:rsidRDefault="0087515B" w:rsidP="00CB7685">
      <w:pPr>
        <w:spacing w:after="0" w:line="240" w:lineRule="auto"/>
      </w:pPr>
      <w:r>
        <w:separator/>
      </w:r>
    </w:p>
  </w:endnote>
  <w:endnote w:type="continuationSeparator" w:id="0">
    <w:p w14:paraId="3B99A5B1" w14:textId="77777777" w:rsidR="0087515B" w:rsidRDefault="0087515B" w:rsidP="00CB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672005"/>
      <w:docPartObj>
        <w:docPartGallery w:val="Page Numbers (Bottom of Page)"/>
        <w:docPartUnique/>
      </w:docPartObj>
    </w:sdtPr>
    <w:sdtEndPr>
      <w:rPr>
        <w:noProof/>
      </w:rPr>
    </w:sdtEndPr>
    <w:sdtContent>
      <w:p w14:paraId="2108F46B" w14:textId="563EE75E" w:rsidR="00CB7685" w:rsidRDefault="00CB7685">
        <w:pPr>
          <w:pStyle w:val="Footer"/>
          <w:jc w:val="center"/>
        </w:pPr>
        <w:r>
          <w:fldChar w:fldCharType="begin"/>
        </w:r>
        <w:r>
          <w:instrText xml:space="preserve"> PAGE   \* MERGEFORMAT </w:instrText>
        </w:r>
        <w:r>
          <w:fldChar w:fldCharType="separate"/>
        </w:r>
        <w:r w:rsidR="00E24D64">
          <w:rPr>
            <w:noProof/>
          </w:rPr>
          <w:t>1</w:t>
        </w:r>
        <w:r>
          <w:rPr>
            <w:noProof/>
          </w:rPr>
          <w:fldChar w:fldCharType="end"/>
        </w:r>
      </w:p>
    </w:sdtContent>
  </w:sdt>
  <w:p w14:paraId="415498C8" w14:textId="77777777" w:rsidR="00CB7685" w:rsidRDefault="00CB7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636F2" w14:textId="77777777" w:rsidR="0087515B" w:rsidRDefault="0087515B" w:rsidP="00CB7685">
      <w:pPr>
        <w:spacing w:after="0" w:line="240" w:lineRule="auto"/>
      </w:pPr>
      <w:r>
        <w:separator/>
      </w:r>
    </w:p>
  </w:footnote>
  <w:footnote w:type="continuationSeparator" w:id="0">
    <w:p w14:paraId="3013980A" w14:textId="77777777" w:rsidR="0087515B" w:rsidRDefault="0087515B" w:rsidP="00CB7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6D0"/>
    <w:multiLevelType w:val="hybridMultilevel"/>
    <w:tmpl w:val="B7A2693C"/>
    <w:lvl w:ilvl="0" w:tplc="89E22BF6">
      <w:start w:val="1"/>
      <w:numFmt w:val="bullet"/>
      <w:lvlText w:val=""/>
      <w:lvlJc w:val="left"/>
      <w:pPr>
        <w:tabs>
          <w:tab w:val="num" w:pos="720"/>
        </w:tabs>
        <w:ind w:left="720" w:hanging="360"/>
      </w:pPr>
      <w:rPr>
        <w:rFonts w:ascii="Wingdings" w:hAnsi="Wingdings" w:hint="default"/>
      </w:rPr>
    </w:lvl>
    <w:lvl w:ilvl="1" w:tplc="F6641F9E">
      <w:start w:val="110"/>
      <w:numFmt w:val="bullet"/>
      <w:lvlText w:val="•"/>
      <w:lvlJc w:val="left"/>
      <w:pPr>
        <w:tabs>
          <w:tab w:val="num" w:pos="1440"/>
        </w:tabs>
        <w:ind w:left="1440" w:hanging="360"/>
      </w:pPr>
      <w:rPr>
        <w:rFonts w:ascii="Arial" w:hAnsi="Arial" w:hint="default"/>
      </w:rPr>
    </w:lvl>
    <w:lvl w:ilvl="2" w:tplc="4A0E6C58" w:tentative="1">
      <w:start w:val="1"/>
      <w:numFmt w:val="bullet"/>
      <w:lvlText w:val=""/>
      <w:lvlJc w:val="left"/>
      <w:pPr>
        <w:tabs>
          <w:tab w:val="num" w:pos="2160"/>
        </w:tabs>
        <w:ind w:left="2160" w:hanging="360"/>
      </w:pPr>
      <w:rPr>
        <w:rFonts w:ascii="Wingdings" w:hAnsi="Wingdings" w:hint="default"/>
      </w:rPr>
    </w:lvl>
    <w:lvl w:ilvl="3" w:tplc="DDB4D176" w:tentative="1">
      <w:start w:val="1"/>
      <w:numFmt w:val="bullet"/>
      <w:lvlText w:val=""/>
      <w:lvlJc w:val="left"/>
      <w:pPr>
        <w:tabs>
          <w:tab w:val="num" w:pos="2880"/>
        </w:tabs>
        <w:ind w:left="2880" w:hanging="360"/>
      </w:pPr>
      <w:rPr>
        <w:rFonts w:ascii="Wingdings" w:hAnsi="Wingdings" w:hint="default"/>
      </w:rPr>
    </w:lvl>
    <w:lvl w:ilvl="4" w:tplc="38B4B114" w:tentative="1">
      <w:start w:val="1"/>
      <w:numFmt w:val="bullet"/>
      <w:lvlText w:val=""/>
      <w:lvlJc w:val="left"/>
      <w:pPr>
        <w:tabs>
          <w:tab w:val="num" w:pos="3600"/>
        </w:tabs>
        <w:ind w:left="3600" w:hanging="360"/>
      </w:pPr>
      <w:rPr>
        <w:rFonts w:ascii="Wingdings" w:hAnsi="Wingdings" w:hint="default"/>
      </w:rPr>
    </w:lvl>
    <w:lvl w:ilvl="5" w:tplc="C2B8A7FC" w:tentative="1">
      <w:start w:val="1"/>
      <w:numFmt w:val="bullet"/>
      <w:lvlText w:val=""/>
      <w:lvlJc w:val="left"/>
      <w:pPr>
        <w:tabs>
          <w:tab w:val="num" w:pos="4320"/>
        </w:tabs>
        <w:ind w:left="4320" w:hanging="360"/>
      </w:pPr>
      <w:rPr>
        <w:rFonts w:ascii="Wingdings" w:hAnsi="Wingdings" w:hint="default"/>
      </w:rPr>
    </w:lvl>
    <w:lvl w:ilvl="6" w:tplc="F674842C" w:tentative="1">
      <w:start w:val="1"/>
      <w:numFmt w:val="bullet"/>
      <w:lvlText w:val=""/>
      <w:lvlJc w:val="left"/>
      <w:pPr>
        <w:tabs>
          <w:tab w:val="num" w:pos="5040"/>
        </w:tabs>
        <w:ind w:left="5040" w:hanging="360"/>
      </w:pPr>
      <w:rPr>
        <w:rFonts w:ascii="Wingdings" w:hAnsi="Wingdings" w:hint="default"/>
      </w:rPr>
    </w:lvl>
    <w:lvl w:ilvl="7" w:tplc="109225BC" w:tentative="1">
      <w:start w:val="1"/>
      <w:numFmt w:val="bullet"/>
      <w:lvlText w:val=""/>
      <w:lvlJc w:val="left"/>
      <w:pPr>
        <w:tabs>
          <w:tab w:val="num" w:pos="5760"/>
        </w:tabs>
        <w:ind w:left="5760" w:hanging="360"/>
      </w:pPr>
      <w:rPr>
        <w:rFonts w:ascii="Wingdings" w:hAnsi="Wingdings" w:hint="default"/>
      </w:rPr>
    </w:lvl>
    <w:lvl w:ilvl="8" w:tplc="150EF6C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1184A"/>
    <w:multiLevelType w:val="hybridMultilevel"/>
    <w:tmpl w:val="F418E2EC"/>
    <w:lvl w:ilvl="0" w:tplc="0304213C">
      <w:start w:val="1"/>
      <w:numFmt w:val="bullet"/>
      <w:lvlText w:val="⮚"/>
      <w:lvlJc w:val="left"/>
      <w:pPr>
        <w:tabs>
          <w:tab w:val="num" w:pos="720"/>
        </w:tabs>
        <w:ind w:left="720" w:hanging="360"/>
      </w:pPr>
      <w:rPr>
        <w:rFonts w:ascii="Segoe UI Symbol" w:hAnsi="Segoe UI Symbol" w:hint="default"/>
      </w:rPr>
    </w:lvl>
    <w:lvl w:ilvl="1" w:tplc="4550A06E" w:tentative="1">
      <w:start w:val="1"/>
      <w:numFmt w:val="bullet"/>
      <w:lvlText w:val="⮚"/>
      <w:lvlJc w:val="left"/>
      <w:pPr>
        <w:tabs>
          <w:tab w:val="num" w:pos="1440"/>
        </w:tabs>
        <w:ind w:left="1440" w:hanging="360"/>
      </w:pPr>
      <w:rPr>
        <w:rFonts w:ascii="Segoe UI Symbol" w:hAnsi="Segoe UI Symbol" w:hint="default"/>
      </w:rPr>
    </w:lvl>
    <w:lvl w:ilvl="2" w:tplc="2CB20F3C" w:tentative="1">
      <w:start w:val="1"/>
      <w:numFmt w:val="bullet"/>
      <w:lvlText w:val="⮚"/>
      <w:lvlJc w:val="left"/>
      <w:pPr>
        <w:tabs>
          <w:tab w:val="num" w:pos="2160"/>
        </w:tabs>
        <w:ind w:left="2160" w:hanging="360"/>
      </w:pPr>
      <w:rPr>
        <w:rFonts w:ascii="Segoe UI Symbol" w:hAnsi="Segoe UI Symbol" w:hint="default"/>
      </w:rPr>
    </w:lvl>
    <w:lvl w:ilvl="3" w:tplc="DBB0830A" w:tentative="1">
      <w:start w:val="1"/>
      <w:numFmt w:val="bullet"/>
      <w:lvlText w:val="⮚"/>
      <w:lvlJc w:val="left"/>
      <w:pPr>
        <w:tabs>
          <w:tab w:val="num" w:pos="2880"/>
        </w:tabs>
        <w:ind w:left="2880" w:hanging="360"/>
      </w:pPr>
      <w:rPr>
        <w:rFonts w:ascii="Segoe UI Symbol" w:hAnsi="Segoe UI Symbol" w:hint="default"/>
      </w:rPr>
    </w:lvl>
    <w:lvl w:ilvl="4" w:tplc="9572D9FC" w:tentative="1">
      <w:start w:val="1"/>
      <w:numFmt w:val="bullet"/>
      <w:lvlText w:val="⮚"/>
      <w:lvlJc w:val="left"/>
      <w:pPr>
        <w:tabs>
          <w:tab w:val="num" w:pos="3600"/>
        </w:tabs>
        <w:ind w:left="3600" w:hanging="360"/>
      </w:pPr>
      <w:rPr>
        <w:rFonts w:ascii="Segoe UI Symbol" w:hAnsi="Segoe UI Symbol" w:hint="default"/>
      </w:rPr>
    </w:lvl>
    <w:lvl w:ilvl="5" w:tplc="59A468B0" w:tentative="1">
      <w:start w:val="1"/>
      <w:numFmt w:val="bullet"/>
      <w:lvlText w:val="⮚"/>
      <w:lvlJc w:val="left"/>
      <w:pPr>
        <w:tabs>
          <w:tab w:val="num" w:pos="4320"/>
        </w:tabs>
        <w:ind w:left="4320" w:hanging="360"/>
      </w:pPr>
      <w:rPr>
        <w:rFonts w:ascii="Segoe UI Symbol" w:hAnsi="Segoe UI Symbol" w:hint="default"/>
      </w:rPr>
    </w:lvl>
    <w:lvl w:ilvl="6" w:tplc="ABF2F96A" w:tentative="1">
      <w:start w:val="1"/>
      <w:numFmt w:val="bullet"/>
      <w:lvlText w:val="⮚"/>
      <w:lvlJc w:val="left"/>
      <w:pPr>
        <w:tabs>
          <w:tab w:val="num" w:pos="5040"/>
        </w:tabs>
        <w:ind w:left="5040" w:hanging="360"/>
      </w:pPr>
      <w:rPr>
        <w:rFonts w:ascii="Segoe UI Symbol" w:hAnsi="Segoe UI Symbol" w:hint="default"/>
      </w:rPr>
    </w:lvl>
    <w:lvl w:ilvl="7" w:tplc="E934F268" w:tentative="1">
      <w:start w:val="1"/>
      <w:numFmt w:val="bullet"/>
      <w:lvlText w:val="⮚"/>
      <w:lvlJc w:val="left"/>
      <w:pPr>
        <w:tabs>
          <w:tab w:val="num" w:pos="5760"/>
        </w:tabs>
        <w:ind w:left="5760" w:hanging="360"/>
      </w:pPr>
      <w:rPr>
        <w:rFonts w:ascii="Segoe UI Symbol" w:hAnsi="Segoe UI Symbol" w:hint="default"/>
      </w:rPr>
    </w:lvl>
    <w:lvl w:ilvl="8" w:tplc="25266468" w:tentative="1">
      <w:start w:val="1"/>
      <w:numFmt w:val="bullet"/>
      <w:lvlText w:val="⮚"/>
      <w:lvlJc w:val="left"/>
      <w:pPr>
        <w:tabs>
          <w:tab w:val="num" w:pos="6480"/>
        </w:tabs>
        <w:ind w:left="6480" w:hanging="360"/>
      </w:pPr>
      <w:rPr>
        <w:rFonts w:ascii="Segoe UI Symbol" w:hAnsi="Segoe UI Symbol" w:hint="default"/>
      </w:rPr>
    </w:lvl>
  </w:abstractNum>
  <w:abstractNum w:abstractNumId="2" w15:restartNumberingAfterBreak="0">
    <w:nsid w:val="0C7F1246"/>
    <w:multiLevelType w:val="hybridMultilevel"/>
    <w:tmpl w:val="5A34DF56"/>
    <w:lvl w:ilvl="0" w:tplc="85A45688">
      <w:start w:val="1"/>
      <w:numFmt w:val="bullet"/>
      <w:lvlText w:val="⮚"/>
      <w:lvlJc w:val="left"/>
      <w:pPr>
        <w:tabs>
          <w:tab w:val="num" w:pos="720"/>
        </w:tabs>
        <w:ind w:left="720" w:hanging="360"/>
      </w:pPr>
      <w:rPr>
        <w:rFonts w:ascii="Segoe UI Symbol" w:hAnsi="Segoe UI Symbol" w:hint="default"/>
      </w:rPr>
    </w:lvl>
    <w:lvl w:ilvl="1" w:tplc="04090001">
      <w:start w:val="1"/>
      <w:numFmt w:val="bullet"/>
      <w:lvlText w:val=""/>
      <w:lvlJc w:val="left"/>
      <w:pPr>
        <w:tabs>
          <w:tab w:val="num" w:pos="1440"/>
        </w:tabs>
        <w:ind w:left="1440" w:hanging="360"/>
      </w:pPr>
      <w:rPr>
        <w:rFonts w:ascii="Symbol" w:hAnsi="Symbol" w:hint="default"/>
      </w:rPr>
    </w:lvl>
    <w:lvl w:ilvl="2" w:tplc="88A00C70" w:tentative="1">
      <w:start w:val="1"/>
      <w:numFmt w:val="bullet"/>
      <w:lvlText w:val="⮚"/>
      <w:lvlJc w:val="left"/>
      <w:pPr>
        <w:tabs>
          <w:tab w:val="num" w:pos="2160"/>
        </w:tabs>
        <w:ind w:left="2160" w:hanging="360"/>
      </w:pPr>
      <w:rPr>
        <w:rFonts w:ascii="Segoe UI Symbol" w:hAnsi="Segoe UI Symbol" w:hint="default"/>
      </w:rPr>
    </w:lvl>
    <w:lvl w:ilvl="3" w:tplc="716E05E2" w:tentative="1">
      <w:start w:val="1"/>
      <w:numFmt w:val="bullet"/>
      <w:lvlText w:val="⮚"/>
      <w:lvlJc w:val="left"/>
      <w:pPr>
        <w:tabs>
          <w:tab w:val="num" w:pos="2880"/>
        </w:tabs>
        <w:ind w:left="2880" w:hanging="360"/>
      </w:pPr>
      <w:rPr>
        <w:rFonts w:ascii="Segoe UI Symbol" w:hAnsi="Segoe UI Symbol" w:hint="default"/>
      </w:rPr>
    </w:lvl>
    <w:lvl w:ilvl="4" w:tplc="1BB0B0F4" w:tentative="1">
      <w:start w:val="1"/>
      <w:numFmt w:val="bullet"/>
      <w:lvlText w:val="⮚"/>
      <w:lvlJc w:val="left"/>
      <w:pPr>
        <w:tabs>
          <w:tab w:val="num" w:pos="3600"/>
        </w:tabs>
        <w:ind w:left="3600" w:hanging="360"/>
      </w:pPr>
      <w:rPr>
        <w:rFonts w:ascii="Segoe UI Symbol" w:hAnsi="Segoe UI Symbol" w:hint="default"/>
      </w:rPr>
    </w:lvl>
    <w:lvl w:ilvl="5" w:tplc="11F08C84" w:tentative="1">
      <w:start w:val="1"/>
      <w:numFmt w:val="bullet"/>
      <w:lvlText w:val="⮚"/>
      <w:lvlJc w:val="left"/>
      <w:pPr>
        <w:tabs>
          <w:tab w:val="num" w:pos="4320"/>
        </w:tabs>
        <w:ind w:left="4320" w:hanging="360"/>
      </w:pPr>
      <w:rPr>
        <w:rFonts w:ascii="Segoe UI Symbol" w:hAnsi="Segoe UI Symbol" w:hint="default"/>
      </w:rPr>
    </w:lvl>
    <w:lvl w:ilvl="6" w:tplc="0EF64624" w:tentative="1">
      <w:start w:val="1"/>
      <w:numFmt w:val="bullet"/>
      <w:lvlText w:val="⮚"/>
      <w:lvlJc w:val="left"/>
      <w:pPr>
        <w:tabs>
          <w:tab w:val="num" w:pos="5040"/>
        </w:tabs>
        <w:ind w:left="5040" w:hanging="360"/>
      </w:pPr>
      <w:rPr>
        <w:rFonts w:ascii="Segoe UI Symbol" w:hAnsi="Segoe UI Symbol" w:hint="default"/>
      </w:rPr>
    </w:lvl>
    <w:lvl w:ilvl="7" w:tplc="5802A5EA" w:tentative="1">
      <w:start w:val="1"/>
      <w:numFmt w:val="bullet"/>
      <w:lvlText w:val="⮚"/>
      <w:lvlJc w:val="left"/>
      <w:pPr>
        <w:tabs>
          <w:tab w:val="num" w:pos="5760"/>
        </w:tabs>
        <w:ind w:left="5760" w:hanging="360"/>
      </w:pPr>
      <w:rPr>
        <w:rFonts w:ascii="Segoe UI Symbol" w:hAnsi="Segoe UI Symbol" w:hint="default"/>
      </w:rPr>
    </w:lvl>
    <w:lvl w:ilvl="8" w:tplc="B2EA332C" w:tentative="1">
      <w:start w:val="1"/>
      <w:numFmt w:val="bullet"/>
      <w:lvlText w:val="⮚"/>
      <w:lvlJc w:val="left"/>
      <w:pPr>
        <w:tabs>
          <w:tab w:val="num" w:pos="6480"/>
        </w:tabs>
        <w:ind w:left="6480" w:hanging="360"/>
      </w:pPr>
      <w:rPr>
        <w:rFonts w:ascii="Segoe UI Symbol" w:hAnsi="Segoe UI Symbol" w:hint="default"/>
      </w:rPr>
    </w:lvl>
  </w:abstractNum>
  <w:abstractNum w:abstractNumId="3" w15:restartNumberingAfterBreak="0">
    <w:nsid w:val="0D1B04F0"/>
    <w:multiLevelType w:val="multilevel"/>
    <w:tmpl w:val="4EA0DCF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74BA3"/>
    <w:multiLevelType w:val="hybridMultilevel"/>
    <w:tmpl w:val="BCE634FC"/>
    <w:lvl w:ilvl="0" w:tplc="F452B2E0">
      <w:start w:val="1"/>
      <w:numFmt w:val="bullet"/>
      <w:lvlText w:val="⮚"/>
      <w:lvlJc w:val="left"/>
      <w:pPr>
        <w:tabs>
          <w:tab w:val="num" w:pos="720"/>
        </w:tabs>
        <w:ind w:left="720" w:hanging="360"/>
      </w:pPr>
      <w:rPr>
        <w:rFonts w:ascii="Segoe UI Symbol" w:hAnsi="Segoe UI Symbol" w:hint="default"/>
      </w:rPr>
    </w:lvl>
    <w:lvl w:ilvl="1" w:tplc="04090001">
      <w:start w:val="1"/>
      <w:numFmt w:val="bullet"/>
      <w:lvlText w:val=""/>
      <w:lvlJc w:val="left"/>
      <w:pPr>
        <w:tabs>
          <w:tab w:val="num" w:pos="1080"/>
        </w:tabs>
        <w:ind w:left="1080" w:hanging="360"/>
      </w:pPr>
      <w:rPr>
        <w:rFonts w:ascii="Symbol" w:hAnsi="Symbol" w:hint="default"/>
      </w:rPr>
    </w:lvl>
    <w:lvl w:ilvl="2" w:tplc="CF407D18">
      <w:start w:val="1"/>
      <w:numFmt w:val="bullet"/>
      <w:lvlText w:val="⮚"/>
      <w:lvlJc w:val="left"/>
      <w:pPr>
        <w:tabs>
          <w:tab w:val="num" w:pos="2160"/>
        </w:tabs>
        <w:ind w:left="2160" w:hanging="360"/>
      </w:pPr>
      <w:rPr>
        <w:rFonts w:ascii="Segoe UI Symbol" w:hAnsi="Segoe UI Symbol" w:hint="default"/>
      </w:rPr>
    </w:lvl>
    <w:lvl w:ilvl="3" w:tplc="9650E2A2" w:tentative="1">
      <w:start w:val="1"/>
      <w:numFmt w:val="bullet"/>
      <w:lvlText w:val="⮚"/>
      <w:lvlJc w:val="left"/>
      <w:pPr>
        <w:tabs>
          <w:tab w:val="num" w:pos="2880"/>
        </w:tabs>
        <w:ind w:left="2880" w:hanging="360"/>
      </w:pPr>
      <w:rPr>
        <w:rFonts w:ascii="Segoe UI Symbol" w:hAnsi="Segoe UI Symbol" w:hint="default"/>
      </w:rPr>
    </w:lvl>
    <w:lvl w:ilvl="4" w:tplc="23DAB088" w:tentative="1">
      <w:start w:val="1"/>
      <w:numFmt w:val="bullet"/>
      <w:lvlText w:val="⮚"/>
      <w:lvlJc w:val="left"/>
      <w:pPr>
        <w:tabs>
          <w:tab w:val="num" w:pos="3600"/>
        </w:tabs>
        <w:ind w:left="3600" w:hanging="360"/>
      </w:pPr>
      <w:rPr>
        <w:rFonts w:ascii="Segoe UI Symbol" w:hAnsi="Segoe UI Symbol" w:hint="default"/>
      </w:rPr>
    </w:lvl>
    <w:lvl w:ilvl="5" w:tplc="C076E1E2" w:tentative="1">
      <w:start w:val="1"/>
      <w:numFmt w:val="bullet"/>
      <w:lvlText w:val="⮚"/>
      <w:lvlJc w:val="left"/>
      <w:pPr>
        <w:tabs>
          <w:tab w:val="num" w:pos="4320"/>
        </w:tabs>
        <w:ind w:left="4320" w:hanging="360"/>
      </w:pPr>
      <w:rPr>
        <w:rFonts w:ascii="Segoe UI Symbol" w:hAnsi="Segoe UI Symbol" w:hint="default"/>
      </w:rPr>
    </w:lvl>
    <w:lvl w:ilvl="6" w:tplc="6004013C" w:tentative="1">
      <w:start w:val="1"/>
      <w:numFmt w:val="bullet"/>
      <w:lvlText w:val="⮚"/>
      <w:lvlJc w:val="left"/>
      <w:pPr>
        <w:tabs>
          <w:tab w:val="num" w:pos="5040"/>
        </w:tabs>
        <w:ind w:left="5040" w:hanging="360"/>
      </w:pPr>
      <w:rPr>
        <w:rFonts w:ascii="Segoe UI Symbol" w:hAnsi="Segoe UI Symbol" w:hint="default"/>
      </w:rPr>
    </w:lvl>
    <w:lvl w:ilvl="7" w:tplc="B3E04500" w:tentative="1">
      <w:start w:val="1"/>
      <w:numFmt w:val="bullet"/>
      <w:lvlText w:val="⮚"/>
      <w:lvlJc w:val="left"/>
      <w:pPr>
        <w:tabs>
          <w:tab w:val="num" w:pos="5760"/>
        </w:tabs>
        <w:ind w:left="5760" w:hanging="360"/>
      </w:pPr>
      <w:rPr>
        <w:rFonts w:ascii="Segoe UI Symbol" w:hAnsi="Segoe UI Symbol" w:hint="default"/>
      </w:rPr>
    </w:lvl>
    <w:lvl w:ilvl="8" w:tplc="5D643B32" w:tentative="1">
      <w:start w:val="1"/>
      <w:numFmt w:val="bullet"/>
      <w:lvlText w:val="⮚"/>
      <w:lvlJc w:val="left"/>
      <w:pPr>
        <w:tabs>
          <w:tab w:val="num" w:pos="6480"/>
        </w:tabs>
        <w:ind w:left="6480" w:hanging="360"/>
      </w:pPr>
      <w:rPr>
        <w:rFonts w:ascii="Segoe UI Symbol" w:hAnsi="Segoe UI Symbol" w:hint="default"/>
      </w:rPr>
    </w:lvl>
  </w:abstractNum>
  <w:abstractNum w:abstractNumId="5" w15:restartNumberingAfterBreak="0">
    <w:nsid w:val="10A06D30"/>
    <w:multiLevelType w:val="hybridMultilevel"/>
    <w:tmpl w:val="79C62E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1B3DA6"/>
    <w:multiLevelType w:val="hybridMultilevel"/>
    <w:tmpl w:val="535C48F0"/>
    <w:lvl w:ilvl="0" w:tplc="AFFAA4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04045"/>
    <w:multiLevelType w:val="hybridMultilevel"/>
    <w:tmpl w:val="BDFE40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E255A"/>
    <w:multiLevelType w:val="hybridMultilevel"/>
    <w:tmpl w:val="483C7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007CE"/>
    <w:multiLevelType w:val="hybridMultilevel"/>
    <w:tmpl w:val="2B3E41B4"/>
    <w:lvl w:ilvl="0" w:tplc="0A6C3B5C">
      <w:start w:val="1"/>
      <w:numFmt w:val="bullet"/>
      <w:lvlText w:val="⮚"/>
      <w:lvlJc w:val="left"/>
      <w:pPr>
        <w:tabs>
          <w:tab w:val="num" w:pos="720"/>
        </w:tabs>
        <w:ind w:left="720" w:hanging="360"/>
      </w:pPr>
      <w:rPr>
        <w:rFonts w:ascii="Segoe UI Symbol" w:hAnsi="Segoe UI Symbol" w:hint="default"/>
      </w:rPr>
    </w:lvl>
    <w:lvl w:ilvl="1" w:tplc="89945700" w:tentative="1">
      <w:start w:val="1"/>
      <w:numFmt w:val="bullet"/>
      <w:lvlText w:val="⮚"/>
      <w:lvlJc w:val="left"/>
      <w:pPr>
        <w:tabs>
          <w:tab w:val="num" w:pos="1440"/>
        </w:tabs>
        <w:ind w:left="1440" w:hanging="360"/>
      </w:pPr>
      <w:rPr>
        <w:rFonts w:ascii="Segoe UI Symbol" w:hAnsi="Segoe UI Symbol" w:hint="default"/>
      </w:rPr>
    </w:lvl>
    <w:lvl w:ilvl="2" w:tplc="23D28BB8" w:tentative="1">
      <w:start w:val="1"/>
      <w:numFmt w:val="bullet"/>
      <w:lvlText w:val="⮚"/>
      <w:lvlJc w:val="left"/>
      <w:pPr>
        <w:tabs>
          <w:tab w:val="num" w:pos="2160"/>
        </w:tabs>
        <w:ind w:left="2160" w:hanging="360"/>
      </w:pPr>
      <w:rPr>
        <w:rFonts w:ascii="Segoe UI Symbol" w:hAnsi="Segoe UI Symbol" w:hint="default"/>
      </w:rPr>
    </w:lvl>
    <w:lvl w:ilvl="3" w:tplc="AAB0B0EA" w:tentative="1">
      <w:start w:val="1"/>
      <w:numFmt w:val="bullet"/>
      <w:lvlText w:val="⮚"/>
      <w:lvlJc w:val="left"/>
      <w:pPr>
        <w:tabs>
          <w:tab w:val="num" w:pos="2880"/>
        </w:tabs>
        <w:ind w:left="2880" w:hanging="360"/>
      </w:pPr>
      <w:rPr>
        <w:rFonts w:ascii="Segoe UI Symbol" w:hAnsi="Segoe UI Symbol" w:hint="default"/>
      </w:rPr>
    </w:lvl>
    <w:lvl w:ilvl="4" w:tplc="7AE66C38" w:tentative="1">
      <w:start w:val="1"/>
      <w:numFmt w:val="bullet"/>
      <w:lvlText w:val="⮚"/>
      <w:lvlJc w:val="left"/>
      <w:pPr>
        <w:tabs>
          <w:tab w:val="num" w:pos="3600"/>
        </w:tabs>
        <w:ind w:left="3600" w:hanging="360"/>
      </w:pPr>
      <w:rPr>
        <w:rFonts w:ascii="Segoe UI Symbol" w:hAnsi="Segoe UI Symbol" w:hint="default"/>
      </w:rPr>
    </w:lvl>
    <w:lvl w:ilvl="5" w:tplc="0346D7D6" w:tentative="1">
      <w:start w:val="1"/>
      <w:numFmt w:val="bullet"/>
      <w:lvlText w:val="⮚"/>
      <w:lvlJc w:val="left"/>
      <w:pPr>
        <w:tabs>
          <w:tab w:val="num" w:pos="4320"/>
        </w:tabs>
        <w:ind w:left="4320" w:hanging="360"/>
      </w:pPr>
      <w:rPr>
        <w:rFonts w:ascii="Segoe UI Symbol" w:hAnsi="Segoe UI Symbol" w:hint="default"/>
      </w:rPr>
    </w:lvl>
    <w:lvl w:ilvl="6" w:tplc="BD2A7414" w:tentative="1">
      <w:start w:val="1"/>
      <w:numFmt w:val="bullet"/>
      <w:lvlText w:val="⮚"/>
      <w:lvlJc w:val="left"/>
      <w:pPr>
        <w:tabs>
          <w:tab w:val="num" w:pos="5040"/>
        </w:tabs>
        <w:ind w:left="5040" w:hanging="360"/>
      </w:pPr>
      <w:rPr>
        <w:rFonts w:ascii="Segoe UI Symbol" w:hAnsi="Segoe UI Symbol" w:hint="default"/>
      </w:rPr>
    </w:lvl>
    <w:lvl w:ilvl="7" w:tplc="B106D49C" w:tentative="1">
      <w:start w:val="1"/>
      <w:numFmt w:val="bullet"/>
      <w:lvlText w:val="⮚"/>
      <w:lvlJc w:val="left"/>
      <w:pPr>
        <w:tabs>
          <w:tab w:val="num" w:pos="5760"/>
        </w:tabs>
        <w:ind w:left="5760" w:hanging="360"/>
      </w:pPr>
      <w:rPr>
        <w:rFonts w:ascii="Segoe UI Symbol" w:hAnsi="Segoe UI Symbol" w:hint="default"/>
      </w:rPr>
    </w:lvl>
    <w:lvl w:ilvl="8" w:tplc="06A2CE74" w:tentative="1">
      <w:start w:val="1"/>
      <w:numFmt w:val="bullet"/>
      <w:lvlText w:val="⮚"/>
      <w:lvlJc w:val="left"/>
      <w:pPr>
        <w:tabs>
          <w:tab w:val="num" w:pos="6480"/>
        </w:tabs>
        <w:ind w:left="6480" w:hanging="360"/>
      </w:pPr>
      <w:rPr>
        <w:rFonts w:ascii="Segoe UI Symbol" w:hAnsi="Segoe UI Symbol" w:hint="default"/>
      </w:rPr>
    </w:lvl>
  </w:abstractNum>
  <w:abstractNum w:abstractNumId="10" w15:restartNumberingAfterBreak="0">
    <w:nsid w:val="25684D7C"/>
    <w:multiLevelType w:val="hybridMultilevel"/>
    <w:tmpl w:val="9E849F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13461C"/>
    <w:multiLevelType w:val="hybridMultilevel"/>
    <w:tmpl w:val="CD84D226"/>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2FF462FF"/>
    <w:multiLevelType w:val="hybridMultilevel"/>
    <w:tmpl w:val="564C0FE2"/>
    <w:lvl w:ilvl="0" w:tplc="A07665E2">
      <w:start w:val="1"/>
      <w:numFmt w:val="bullet"/>
      <w:lvlText w:val="⮚"/>
      <w:lvlJc w:val="left"/>
      <w:pPr>
        <w:tabs>
          <w:tab w:val="num" w:pos="720"/>
        </w:tabs>
        <w:ind w:left="720" w:hanging="360"/>
      </w:pPr>
      <w:rPr>
        <w:rFonts w:ascii="Segoe UI Symbol" w:hAnsi="Segoe UI Symbol" w:hint="default"/>
      </w:rPr>
    </w:lvl>
    <w:lvl w:ilvl="1" w:tplc="EE9C8652" w:tentative="1">
      <w:start w:val="1"/>
      <w:numFmt w:val="bullet"/>
      <w:lvlText w:val="⮚"/>
      <w:lvlJc w:val="left"/>
      <w:pPr>
        <w:tabs>
          <w:tab w:val="num" w:pos="1440"/>
        </w:tabs>
        <w:ind w:left="1440" w:hanging="360"/>
      </w:pPr>
      <w:rPr>
        <w:rFonts w:ascii="Segoe UI Symbol" w:hAnsi="Segoe UI Symbol" w:hint="default"/>
      </w:rPr>
    </w:lvl>
    <w:lvl w:ilvl="2" w:tplc="8288352E" w:tentative="1">
      <w:start w:val="1"/>
      <w:numFmt w:val="bullet"/>
      <w:lvlText w:val="⮚"/>
      <w:lvlJc w:val="left"/>
      <w:pPr>
        <w:tabs>
          <w:tab w:val="num" w:pos="2160"/>
        </w:tabs>
        <w:ind w:left="2160" w:hanging="360"/>
      </w:pPr>
      <w:rPr>
        <w:rFonts w:ascii="Segoe UI Symbol" w:hAnsi="Segoe UI Symbol" w:hint="default"/>
      </w:rPr>
    </w:lvl>
    <w:lvl w:ilvl="3" w:tplc="7D5EED9C" w:tentative="1">
      <w:start w:val="1"/>
      <w:numFmt w:val="bullet"/>
      <w:lvlText w:val="⮚"/>
      <w:lvlJc w:val="left"/>
      <w:pPr>
        <w:tabs>
          <w:tab w:val="num" w:pos="2880"/>
        </w:tabs>
        <w:ind w:left="2880" w:hanging="360"/>
      </w:pPr>
      <w:rPr>
        <w:rFonts w:ascii="Segoe UI Symbol" w:hAnsi="Segoe UI Symbol" w:hint="default"/>
      </w:rPr>
    </w:lvl>
    <w:lvl w:ilvl="4" w:tplc="1EA295E0" w:tentative="1">
      <w:start w:val="1"/>
      <w:numFmt w:val="bullet"/>
      <w:lvlText w:val="⮚"/>
      <w:lvlJc w:val="left"/>
      <w:pPr>
        <w:tabs>
          <w:tab w:val="num" w:pos="3600"/>
        </w:tabs>
        <w:ind w:left="3600" w:hanging="360"/>
      </w:pPr>
      <w:rPr>
        <w:rFonts w:ascii="Segoe UI Symbol" w:hAnsi="Segoe UI Symbol" w:hint="default"/>
      </w:rPr>
    </w:lvl>
    <w:lvl w:ilvl="5" w:tplc="160C5106" w:tentative="1">
      <w:start w:val="1"/>
      <w:numFmt w:val="bullet"/>
      <w:lvlText w:val="⮚"/>
      <w:lvlJc w:val="left"/>
      <w:pPr>
        <w:tabs>
          <w:tab w:val="num" w:pos="4320"/>
        </w:tabs>
        <w:ind w:left="4320" w:hanging="360"/>
      </w:pPr>
      <w:rPr>
        <w:rFonts w:ascii="Segoe UI Symbol" w:hAnsi="Segoe UI Symbol" w:hint="default"/>
      </w:rPr>
    </w:lvl>
    <w:lvl w:ilvl="6" w:tplc="E4F067E0" w:tentative="1">
      <w:start w:val="1"/>
      <w:numFmt w:val="bullet"/>
      <w:lvlText w:val="⮚"/>
      <w:lvlJc w:val="left"/>
      <w:pPr>
        <w:tabs>
          <w:tab w:val="num" w:pos="5040"/>
        </w:tabs>
        <w:ind w:left="5040" w:hanging="360"/>
      </w:pPr>
      <w:rPr>
        <w:rFonts w:ascii="Segoe UI Symbol" w:hAnsi="Segoe UI Symbol" w:hint="default"/>
      </w:rPr>
    </w:lvl>
    <w:lvl w:ilvl="7" w:tplc="7014401C" w:tentative="1">
      <w:start w:val="1"/>
      <w:numFmt w:val="bullet"/>
      <w:lvlText w:val="⮚"/>
      <w:lvlJc w:val="left"/>
      <w:pPr>
        <w:tabs>
          <w:tab w:val="num" w:pos="5760"/>
        </w:tabs>
        <w:ind w:left="5760" w:hanging="360"/>
      </w:pPr>
      <w:rPr>
        <w:rFonts w:ascii="Segoe UI Symbol" w:hAnsi="Segoe UI Symbol" w:hint="default"/>
      </w:rPr>
    </w:lvl>
    <w:lvl w:ilvl="8" w:tplc="D62E3A34" w:tentative="1">
      <w:start w:val="1"/>
      <w:numFmt w:val="bullet"/>
      <w:lvlText w:val="⮚"/>
      <w:lvlJc w:val="left"/>
      <w:pPr>
        <w:tabs>
          <w:tab w:val="num" w:pos="6480"/>
        </w:tabs>
        <w:ind w:left="6480" w:hanging="360"/>
      </w:pPr>
      <w:rPr>
        <w:rFonts w:ascii="Segoe UI Symbol" w:hAnsi="Segoe UI Symbol" w:hint="default"/>
      </w:rPr>
    </w:lvl>
  </w:abstractNum>
  <w:abstractNum w:abstractNumId="13" w15:restartNumberingAfterBreak="0">
    <w:nsid w:val="31037CE9"/>
    <w:multiLevelType w:val="hybridMultilevel"/>
    <w:tmpl w:val="725C9814"/>
    <w:lvl w:ilvl="0" w:tplc="AD1232B2">
      <w:start w:val="1"/>
      <w:numFmt w:val="bullet"/>
      <w:lvlText w:val="⮚"/>
      <w:lvlJc w:val="left"/>
      <w:pPr>
        <w:tabs>
          <w:tab w:val="num" w:pos="720"/>
        </w:tabs>
        <w:ind w:left="720" w:hanging="360"/>
      </w:pPr>
      <w:rPr>
        <w:rFonts w:ascii="Segoe UI Symbol" w:hAnsi="Segoe UI Symbol" w:hint="default"/>
      </w:rPr>
    </w:lvl>
    <w:lvl w:ilvl="1" w:tplc="2DAA1B9E" w:tentative="1">
      <w:start w:val="1"/>
      <w:numFmt w:val="bullet"/>
      <w:lvlText w:val="⮚"/>
      <w:lvlJc w:val="left"/>
      <w:pPr>
        <w:tabs>
          <w:tab w:val="num" w:pos="1440"/>
        </w:tabs>
        <w:ind w:left="1440" w:hanging="360"/>
      </w:pPr>
      <w:rPr>
        <w:rFonts w:ascii="Segoe UI Symbol" w:hAnsi="Segoe UI Symbol" w:hint="default"/>
      </w:rPr>
    </w:lvl>
    <w:lvl w:ilvl="2" w:tplc="F780B4E0" w:tentative="1">
      <w:start w:val="1"/>
      <w:numFmt w:val="bullet"/>
      <w:lvlText w:val="⮚"/>
      <w:lvlJc w:val="left"/>
      <w:pPr>
        <w:tabs>
          <w:tab w:val="num" w:pos="2160"/>
        </w:tabs>
        <w:ind w:left="2160" w:hanging="360"/>
      </w:pPr>
      <w:rPr>
        <w:rFonts w:ascii="Segoe UI Symbol" w:hAnsi="Segoe UI Symbol" w:hint="default"/>
      </w:rPr>
    </w:lvl>
    <w:lvl w:ilvl="3" w:tplc="6FB047DE" w:tentative="1">
      <w:start w:val="1"/>
      <w:numFmt w:val="bullet"/>
      <w:lvlText w:val="⮚"/>
      <w:lvlJc w:val="left"/>
      <w:pPr>
        <w:tabs>
          <w:tab w:val="num" w:pos="2880"/>
        </w:tabs>
        <w:ind w:left="2880" w:hanging="360"/>
      </w:pPr>
      <w:rPr>
        <w:rFonts w:ascii="Segoe UI Symbol" w:hAnsi="Segoe UI Symbol" w:hint="default"/>
      </w:rPr>
    </w:lvl>
    <w:lvl w:ilvl="4" w:tplc="97681B78" w:tentative="1">
      <w:start w:val="1"/>
      <w:numFmt w:val="bullet"/>
      <w:lvlText w:val="⮚"/>
      <w:lvlJc w:val="left"/>
      <w:pPr>
        <w:tabs>
          <w:tab w:val="num" w:pos="3600"/>
        </w:tabs>
        <w:ind w:left="3600" w:hanging="360"/>
      </w:pPr>
      <w:rPr>
        <w:rFonts w:ascii="Segoe UI Symbol" w:hAnsi="Segoe UI Symbol" w:hint="default"/>
      </w:rPr>
    </w:lvl>
    <w:lvl w:ilvl="5" w:tplc="44C0E3EC" w:tentative="1">
      <w:start w:val="1"/>
      <w:numFmt w:val="bullet"/>
      <w:lvlText w:val="⮚"/>
      <w:lvlJc w:val="left"/>
      <w:pPr>
        <w:tabs>
          <w:tab w:val="num" w:pos="4320"/>
        </w:tabs>
        <w:ind w:left="4320" w:hanging="360"/>
      </w:pPr>
      <w:rPr>
        <w:rFonts w:ascii="Segoe UI Symbol" w:hAnsi="Segoe UI Symbol" w:hint="default"/>
      </w:rPr>
    </w:lvl>
    <w:lvl w:ilvl="6" w:tplc="5B1A4B08" w:tentative="1">
      <w:start w:val="1"/>
      <w:numFmt w:val="bullet"/>
      <w:lvlText w:val="⮚"/>
      <w:lvlJc w:val="left"/>
      <w:pPr>
        <w:tabs>
          <w:tab w:val="num" w:pos="5040"/>
        </w:tabs>
        <w:ind w:left="5040" w:hanging="360"/>
      </w:pPr>
      <w:rPr>
        <w:rFonts w:ascii="Segoe UI Symbol" w:hAnsi="Segoe UI Symbol" w:hint="default"/>
      </w:rPr>
    </w:lvl>
    <w:lvl w:ilvl="7" w:tplc="CEDC5498" w:tentative="1">
      <w:start w:val="1"/>
      <w:numFmt w:val="bullet"/>
      <w:lvlText w:val="⮚"/>
      <w:lvlJc w:val="left"/>
      <w:pPr>
        <w:tabs>
          <w:tab w:val="num" w:pos="5760"/>
        </w:tabs>
        <w:ind w:left="5760" w:hanging="360"/>
      </w:pPr>
      <w:rPr>
        <w:rFonts w:ascii="Segoe UI Symbol" w:hAnsi="Segoe UI Symbol" w:hint="default"/>
      </w:rPr>
    </w:lvl>
    <w:lvl w:ilvl="8" w:tplc="D1EA9C72" w:tentative="1">
      <w:start w:val="1"/>
      <w:numFmt w:val="bullet"/>
      <w:lvlText w:val="⮚"/>
      <w:lvlJc w:val="left"/>
      <w:pPr>
        <w:tabs>
          <w:tab w:val="num" w:pos="6480"/>
        </w:tabs>
        <w:ind w:left="6480" w:hanging="360"/>
      </w:pPr>
      <w:rPr>
        <w:rFonts w:ascii="Segoe UI Symbol" w:hAnsi="Segoe UI Symbol" w:hint="default"/>
      </w:rPr>
    </w:lvl>
  </w:abstractNum>
  <w:abstractNum w:abstractNumId="14" w15:restartNumberingAfterBreak="0">
    <w:nsid w:val="31652CDA"/>
    <w:multiLevelType w:val="hybridMultilevel"/>
    <w:tmpl w:val="B658FED4"/>
    <w:lvl w:ilvl="0" w:tplc="AC88572C">
      <w:start w:val="1"/>
      <w:numFmt w:val="bullet"/>
      <w:lvlText w:val="⮚"/>
      <w:lvlJc w:val="left"/>
      <w:pPr>
        <w:tabs>
          <w:tab w:val="num" w:pos="720"/>
        </w:tabs>
        <w:ind w:left="720" w:hanging="360"/>
      </w:pPr>
      <w:rPr>
        <w:rFonts w:ascii="Segoe UI Symbol" w:hAnsi="Segoe UI Symbol" w:hint="default"/>
      </w:rPr>
    </w:lvl>
    <w:lvl w:ilvl="1" w:tplc="C9707E86" w:tentative="1">
      <w:start w:val="1"/>
      <w:numFmt w:val="bullet"/>
      <w:lvlText w:val="⮚"/>
      <w:lvlJc w:val="left"/>
      <w:pPr>
        <w:tabs>
          <w:tab w:val="num" w:pos="1440"/>
        </w:tabs>
        <w:ind w:left="1440" w:hanging="360"/>
      </w:pPr>
      <w:rPr>
        <w:rFonts w:ascii="Segoe UI Symbol" w:hAnsi="Segoe UI Symbol" w:hint="default"/>
      </w:rPr>
    </w:lvl>
    <w:lvl w:ilvl="2" w:tplc="4C5CCC52" w:tentative="1">
      <w:start w:val="1"/>
      <w:numFmt w:val="bullet"/>
      <w:lvlText w:val="⮚"/>
      <w:lvlJc w:val="left"/>
      <w:pPr>
        <w:tabs>
          <w:tab w:val="num" w:pos="2160"/>
        </w:tabs>
        <w:ind w:left="2160" w:hanging="360"/>
      </w:pPr>
      <w:rPr>
        <w:rFonts w:ascii="Segoe UI Symbol" w:hAnsi="Segoe UI Symbol" w:hint="default"/>
      </w:rPr>
    </w:lvl>
    <w:lvl w:ilvl="3" w:tplc="0B1EB75E" w:tentative="1">
      <w:start w:val="1"/>
      <w:numFmt w:val="bullet"/>
      <w:lvlText w:val="⮚"/>
      <w:lvlJc w:val="left"/>
      <w:pPr>
        <w:tabs>
          <w:tab w:val="num" w:pos="2880"/>
        </w:tabs>
        <w:ind w:left="2880" w:hanging="360"/>
      </w:pPr>
      <w:rPr>
        <w:rFonts w:ascii="Segoe UI Symbol" w:hAnsi="Segoe UI Symbol" w:hint="default"/>
      </w:rPr>
    </w:lvl>
    <w:lvl w:ilvl="4" w:tplc="471C8652" w:tentative="1">
      <w:start w:val="1"/>
      <w:numFmt w:val="bullet"/>
      <w:lvlText w:val="⮚"/>
      <w:lvlJc w:val="left"/>
      <w:pPr>
        <w:tabs>
          <w:tab w:val="num" w:pos="3600"/>
        </w:tabs>
        <w:ind w:left="3600" w:hanging="360"/>
      </w:pPr>
      <w:rPr>
        <w:rFonts w:ascii="Segoe UI Symbol" w:hAnsi="Segoe UI Symbol" w:hint="default"/>
      </w:rPr>
    </w:lvl>
    <w:lvl w:ilvl="5" w:tplc="7918F124" w:tentative="1">
      <w:start w:val="1"/>
      <w:numFmt w:val="bullet"/>
      <w:lvlText w:val="⮚"/>
      <w:lvlJc w:val="left"/>
      <w:pPr>
        <w:tabs>
          <w:tab w:val="num" w:pos="4320"/>
        </w:tabs>
        <w:ind w:left="4320" w:hanging="360"/>
      </w:pPr>
      <w:rPr>
        <w:rFonts w:ascii="Segoe UI Symbol" w:hAnsi="Segoe UI Symbol" w:hint="default"/>
      </w:rPr>
    </w:lvl>
    <w:lvl w:ilvl="6" w:tplc="B14C2282" w:tentative="1">
      <w:start w:val="1"/>
      <w:numFmt w:val="bullet"/>
      <w:lvlText w:val="⮚"/>
      <w:lvlJc w:val="left"/>
      <w:pPr>
        <w:tabs>
          <w:tab w:val="num" w:pos="5040"/>
        </w:tabs>
        <w:ind w:left="5040" w:hanging="360"/>
      </w:pPr>
      <w:rPr>
        <w:rFonts w:ascii="Segoe UI Symbol" w:hAnsi="Segoe UI Symbol" w:hint="default"/>
      </w:rPr>
    </w:lvl>
    <w:lvl w:ilvl="7" w:tplc="40F0C4A4" w:tentative="1">
      <w:start w:val="1"/>
      <w:numFmt w:val="bullet"/>
      <w:lvlText w:val="⮚"/>
      <w:lvlJc w:val="left"/>
      <w:pPr>
        <w:tabs>
          <w:tab w:val="num" w:pos="5760"/>
        </w:tabs>
        <w:ind w:left="5760" w:hanging="360"/>
      </w:pPr>
      <w:rPr>
        <w:rFonts w:ascii="Segoe UI Symbol" w:hAnsi="Segoe UI Symbol" w:hint="default"/>
      </w:rPr>
    </w:lvl>
    <w:lvl w:ilvl="8" w:tplc="49DAA356" w:tentative="1">
      <w:start w:val="1"/>
      <w:numFmt w:val="bullet"/>
      <w:lvlText w:val="⮚"/>
      <w:lvlJc w:val="left"/>
      <w:pPr>
        <w:tabs>
          <w:tab w:val="num" w:pos="6480"/>
        </w:tabs>
        <w:ind w:left="6480" w:hanging="360"/>
      </w:pPr>
      <w:rPr>
        <w:rFonts w:ascii="Segoe UI Symbol" w:hAnsi="Segoe UI Symbol" w:hint="default"/>
      </w:rPr>
    </w:lvl>
  </w:abstractNum>
  <w:abstractNum w:abstractNumId="15" w15:restartNumberingAfterBreak="0">
    <w:nsid w:val="325E03FC"/>
    <w:multiLevelType w:val="hybridMultilevel"/>
    <w:tmpl w:val="FCD2BE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425A02"/>
    <w:multiLevelType w:val="hybridMultilevel"/>
    <w:tmpl w:val="7DD4A016"/>
    <w:lvl w:ilvl="0" w:tplc="7472C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31995"/>
    <w:multiLevelType w:val="hybridMultilevel"/>
    <w:tmpl w:val="55A2B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80632"/>
    <w:multiLevelType w:val="hybridMultilevel"/>
    <w:tmpl w:val="B3AA08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2E123A"/>
    <w:multiLevelType w:val="hybridMultilevel"/>
    <w:tmpl w:val="F3F6C8C8"/>
    <w:lvl w:ilvl="0" w:tplc="19728B68">
      <w:start w:val="1"/>
      <w:numFmt w:val="bullet"/>
      <w:lvlText w:val="⮚"/>
      <w:lvlJc w:val="left"/>
      <w:pPr>
        <w:tabs>
          <w:tab w:val="num" w:pos="720"/>
        </w:tabs>
        <w:ind w:left="720" w:hanging="360"/>
      </w:pPr>
      <w:rPr>
        <w:rFonts w:ascii="Segoe UI Symbol" w:hAnsi="Segoe UI Symbol" w:hint="default"/>
      </w:rPr>
    </w:lvl>
    <w:lvl w:ilvl="1" w:tplc="753A93F8" w:tentative="1">
      <w:start w:val="1"/>
      <w:numFmt w:val="bullet"/>
      <w:lvlText w:val="⮚"/>
      <w:lvlJc w:val="left"/>
      <w:pPr>
        <w:tabs>
          <w:tab w:val="num" w:pos="1440"/>
        </w:tabs>
        <w:ind w:left="1440" w:hanging="360"/>
      </w:pPr>
      <w:rPr>
        <w:rFonts w:ascii="Segoe UI Symbol" w:hAnsi="Segoe UI Symbol" w:hint="default"/>
      </w:rPr>
    </w:lvl>
    <w:lvl w:ilvl="2" w:tplc="38F691BC" w:tentative="1">
      <w:start w:val="1"/>
      <w:numFmt w:val="bullet"/>
      <w:lvlText w:val="⮚"/>
      <w:lvlJc w:val="left"/>
      <w:pPr>
        <w:tabs>
          <w:tab w:val="num" w:pos="2160"/>
        </w:tabs>
        <w:ind w:left="2160" w:hanging="360"/>
      </w:pPr>
      <w:rPr>
        <w:rFonts w:ascii="Segoe UI Symbol" w:hAnsi="Segoe UI Symbol" w:hint="default"/>
      </w:rPr>
    </w:lvl>
    <w:lvl w:ilvl="3" w:tplc="73C23A2A" w:tentative="1">
      <w:start w:val="1"/>
      <w:numFmt w:val="bullet"/>
      <w:lvlText w:val="⮚"/>
      <w:lvlJc w:val="left"/>
      <w:pPr>
        <w:tabs>
          <w:tab w:val="num" w:pos="2880"/>
        </w:tabs>
        <w:ind w:left="2880" w:hanging="360"/>
      </w:pPr>
      <w:rPr>
        <w:rFonts w:ascii="Segoe UI Symbol" w:hAnsi="Segoe UI Symbol" w:hint="default"/>
      </w:rPr>
    </w:lvl>
    <w:lvl w:ilvl="4" w:tplc="CE58C31E" w:tentative="1">
      <w:start w:val="1"/>
      <w:numFmt w:val="bullet"/>
      <w:lvlText w:val="⮚"/>
      <w:lvlJc w:val="left"/>
      <w:pPr>
        <w:tabs>
          <w:tab w:val="num" w:pos="3600"/>
        </w:tabs>
        <w:ind w:left="3600" w:hanging="360"/>
      </w:pPr>
      <w:rPr>
        <w:rFonts w:ascii="Segoe UI Symbol" w:hAnsi="Segoe UI Symbol" w:hint="default"/>
      </w:rPr>
    </w:lvl>
    <w:lvl w:ilvl="5" w:tplc="F0824E66" w:tentative="1">
      <w:start w:val="1"/>
      <w:numFmt w:val="bullet"/>
      <w:lvlText w:val="⮚"/>
      <w:lvlJc w:val="left"/>
      <w:pPr>
        <w:tabs>
          <w:tab w:val="num" w:pos="4320"/>
        </w:tabs>
        <w:ind w:left="4320" w:hanging="360"/>
      </w:pPr>
      <w:rPr>
        <w:rFonts w:ascii="Segoe UI Symbol" w:hAnsi="Segoe UI Symbol" w:hint="default"/>
      </w:rPr>
    </w:lvl>
    <w:lvl w:ilvl="6" w:tplc="204C6DA2" w:tentative="1">
      <w:start w:val="1"/>
      <w:numFmt w:val="bullet"/>
      <w:lvlText w:val="⮚"/>
      <w:lvlJc w:val="left"/>
      <w:pPr>
        <w:tabs>
          <w:tab w:val="num" w:pos="5040"/>
        </w:tabs>
        <w:ind w:left="5040" w:hanging="360"/>
      </w:pPr>
      <w:rPr>
        <w:rFonts w:ascii="Segoe UI Symbol" w:hAnsi="Segoe UI Symbol" w:hint="default"/>
      </w:rPr>
    </w:lvl>
    <w:lvl w:ilvl="7" w:tplc="7B5CD43E" w:tentative="1">
      <w:start w:val="1"/>
      <w:numFmt w:val="bullet"/>
      <w:lvlText w:val="⮚"/>
      <w:lvlJc w:val="left"/>
      <w:pPr>
        <w:tabs>
          <w:tab w:val="num" w:pos="5760"/>
        </w:tabs>
        <w:ind w:left="5760" w:hanging="360"/>
      </w:pPr>
      <w:rPr>
        <w:rFonts w:ascii="Segoe UI Symbol" w:hAnsi="Segoe UI Symbol" w:hint="default"/>
      </w:rPr>
    </w:lvl>
    <w:lvl w:ilvl="8" w:tplc="FEFCBCAE" w:tentative="1">
      <w:start w:val="1"/>
      <w:numFmt w:val="bullet"/>
      <w:lvlText w:val="⮚"/>
      <w:lvlJc w:val="left"/>
      <w:pPr>
        <w:tabs>
          <w:tab w:val="num" w:pos="6480"/>
        </w:tabs>
        <w:ind w:left="6480" w:hanging="360"/>
      </w:pPr>
      <w:rPr>
        <w:rFonts w:ascii="Segoe UI Symbol" w:hAnsi="Segoe UI Symbol" w:hint="default"/>
      </w:rPr>
    </w:lvl>
  </w:abstractNum>
  <w:abstractNum w:abstractNumId="20" w15:restartNumberingAfterBreak="0">
    <w:nsid w:val="3E3650D5"/>
    <w:multiLevelType w:val="hybridMultilevel"/>
    <w:tmpl w:val="7AE4E0F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EEC31E2"/>
    <w:multiLevelType w:val="hybridMultilevel"/>
    <w:tmpl w:val="1734AA0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2422821"/>
    <w:multiLevelType w:val="hybridMultilevel"/>
    <w:tmpl w:val="4F92EE08"/>
    <w:lvl w:ilvl="0" w:tplc="434AD77C">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66703"/>
    <w:multiLevelType w:val="hybridMultilevel"/>
    <w:tmpl w:val="521676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B206A6"/>
    <w:multiLevelType w:val="hybridMultilevel"/>
    <w:tmpl w:val="7A7ED5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332E87"/>
    <w:multiLevelType w:val="hybridMultilevel"/>
    <w:tmpl w:val="531245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10CC7"/>
    <w:multiLevelType w:val="hybridMultilevel"/>
    <w:tmpl w:val="ECD431CA"/>
    <w:lvl w:ilvl="0" w:tplc="A26C87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6016B2"/>
    <w:multiLevelType w:val="hybridMultilevel"/>
    <w:tmpl w:val="83EA343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1B58F0"/>
    <w:multiLevelType w:val="hybridMultilevel"/>
    <w:tmpl w:val="6CD0F6A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4E40914"/>
    <w:multiLevelType w:val="hybridMultilevel"/>
    <w:tmpl w:val="E6FE3A26"/>
    <w:lvl w:ilvl="0" w:tplc="434AD77C">
      <w:start w:val="1"/>
      <w:numFmt w:val="bullet"/>
      <w:lvlText w:val="⮚"/>
      <w:lvlJc w:val="left"/>
      <w:pPr>
        <w:tabs>
          <w:tab w:val="num" w:pos="720"/>
        </w:tabs>
        <w:ind w:left="720" w:hanging="360"/>
      </w:pPr>
      <w:rPr>
        <w:rFonts w:ascii="Segoe UI Symbol" w:hAnsi="Segoe UI Symbol" w:hint="default"/>
      </w:rPr>
    </w:lvl>
    <w:lvl w:ilvl="1" w:tplc="2D8486B6">
      <w:start w:val="270"/>
      <w:numFmt w:val="bullet"/>
      <w:lvlText w:val="o"/>
      <w:lvlJc w:val="left"/>
      <w:pPr>
        <w:tabs>
          <w:tab w:val="num" w:pos="1440"/>
        </w:tabs>
        <w:ind w:left="1440" w:hanging="360"/>
      </w:pPr>
      <w:rPr>
        <w:rFonts w:ascii="Courier New" w:hAnsi="Courier New" w:hint="default"/>
      </w:rPr>
    </w:lvl>
    <w:lvl w:ilvl="2" w:tplc="7C98647A" w:tentative="1">
      <w:start w:val="1"/>
      <w:numFmt w:val="bullet"/>
      <w:lvlText w:val="⮚"/>
      <w:lvlJc w:val="left"/>
      <w:pPr>
        <w:tabs>
          <w:tab w:val="num" w:pos="2160"/>
        </w:tabs>
        <w:ind w:left="2160" w:hanging="360"/>
      </w:pPr>
      <w:rPr>
        <w:rFonts w:ascii="Segoe UI Symbol" w:hAnsi="Segoe UI Symbol" w:hint="default"/>
      </w:rPr>
    </w:lvl>
    <w:lvl w:ilvl="3" w:tplc="35960260" w:tentative="1">
      <w:start w:val="1"/>
      <w:numFmt w:val="bullet"/>
      <w:lvlText w:val="⮚"/>
      <w:lvlJc w:val="left"/>
      <w:pPr>
        <w:tabs>
          <w:tab w:val="num" w:pos="2880"/>
        </w:tabs>
        <w:ind w:left="2880" w:hanging="360"/>
      </w:pPr>
      <w:rPr>
        <w:rFonts w:ascii="Segoe UI Symbol" w:hAnsi="Segoe UI Symbol" w:hint="default"/>
      </w:rPr>
    </w:lvl>
    <w:lvl w:ilvl="4" w:tplc="7D4E86E0" w:tentative="1">
      <w:start w:val="1"/>
      <w:numFmt w:val="bullet"/>
      <w:lvlText w:val="⮚"/>
      <w:lvlJc w:val="left"/>
      <w:pPr>
        <w:tabs>
          <w:tab w:val="num" w:pos="3600"/>
        </w:tabs>
        <w:ind w:left="3600" w:hanging="360"/>
      </w:pPr>
      <w:rPr>
        <w:rFonts w:ascii="Segoe UI Symbol" w:hAnsi="Segoe UI Symbol" w:hint="default"/>
      </w:rPr>
    </w:lvl>
    <w:lvl w:ilvl="5" w:tplc="C5E0C6A6" w:tentative="1">
      <w:start w:val="1"/>
      <w:numFmt w:val="bullet"/>
      <w:lvlText w:val="⮚"/>
      <w:lvlJc w:val="left"/>
      <w:pPr>
        <w:tabs>
          <w:tab w:val="num" w:pos="4320"/>
        </w:tabs>
        <w:ind w:left="4320" w:hanging="360"/>
      </w:pPr>
      <w:rPr>
        <w:rFonts w:ascii="Segoe UI Symbol" w:hAnsi="Segoe UI Symbol" w:hint="default"/>
      </w:rPr>
    </w:lvl>
    <w:lvl w:ilvl="6" w:tplc="84426470" w:tentative="1">
      <w:start w:val="1"/>
      <w:numFmt w:val="bullet"/>
      <w:lvlText w:val="⮚"/>
      <w:lvlJc w:val="left"/>
      <w:pPr>
        <w:tabs>
          <w:tab w:val="num" w:pos="5040"/>
        </w:tabs>
        <w:ind w:left="5040" w:hanging="360"/>
      </w:pPr>
      <w:rPr>
        <w:rFonts w:ascii="Segoe UI Symbol" w:hAnsi="Segoe UI Symbol" w:hint="default"/>
      </w:rPr>
    </w:lvl>
    <w:lvl w:ilvl="7" w:tplc="B33227F6" w:tentative="1">
      <w:start w:val="1"/>
      <w:numFmt w:val="bullet"/>
      <w:lvlText w:val="⮚"/>
      <w:lvlJc w:val="left"/>
      <w:pPr>
        <w:tabs>
          <w:tab w:val="num" w:pos="5760"/>
        </w:tabs>
        <w:ind w:left="5760" w:hanging="360"/>
      </w:pPr>
      <w:rPr>
        <w:rFonts w:ascii="Segoe UI Symbol" w:hAnsi="Segoe UI Symbol" w:hint="default"/>
      </w:rPr>
    </w:lvl>
    <w:lvl w:ilvl="8" w:tplc="6F381CE2" w:tentative="1">
      <w:start w:val="1"/>
      <w:numFmt w:val="bullet"/>
      <w:lvlText w:val="⮚"/>
      <w:lvlJc w:val="left"/>
      <w:pPr>
        <w:tabs>
          <w:tab w:val="num" w:pos="6480"/>
        </w:tabs>
        <w:ind w:left="6480" w:hanging="360"/>
      </w:pPr>
      <w:rPr>
        <w:rFonts w:ascii="Segoe UI Symbol" w:hAnsi="Segoe UI Symbol" w:hint="default"/>
      </w:rPr>
    </w:lvl>
  </w:abstractNum>
  <w:abstractNum w:abstractNumId="30" w15:restartNumberingAfterBreak="0">
    <w:nsid w:val="55706B96"/>
    <w:multiLevelType w:val="hybridMultilevel"/>
    <w:tmpl w:val="713EBF9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8810F4"/>
    <w:multiLevelType w:val="hybridMultilevel"/>
    <w:tmpl w:val="A7027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1E22B4"/>
    <w:multiLevelType w:val="hybridMultilevel"/>
    <w:tmpl w:val="0F6CFFC2"/>
    <w:lvl w:ilvl="0" w:tplc="692E8600">
      <w:start w:val="1"/>
      <w:numFmt w:val="bullet"/>
      <w:lvlText w:val="⮚"/>
      <w:lvlJc w:val="left"/>
      <w:pPr>
        <w:tabs>
          <w:tab w:val="num" w:pos="720"/>
        </w:tabs>
        <w:ind w:left="720" w:hanging="360"/>
      </w:pPr>
      <w:rPr>
        <w:rFonts w:ascii="Segoe UI Symbol" w:hAnsi="Segoe UI Symbol" w:hint="default"/>
      </w:rPr>
    </w:lvl>
    <w:lvl w:ilvl="1" w:tplc="4A58928C" w:tentative="1">
      <w:start w:val="1"/>
      <w:numFmt w:val="bullet"/>
      <w:lvlText w:val="⮚"/>
      <w:lvlJc w:val="left"/>
      <w:pPr>
        <w:tabs>
          <w:tab w:val="num" w:pos="1440"/>
        </w:tabs>
        <w:ind w:left="1440" w:hanging="360"/>
      </w:pPr>
      <w:rPr>
        <w:rFonts w:ascii="Segoe UI Symbol" w:hAnsi="Segoe UI Symbol" w:hint="default"/>
      </w:rPr>
    </w:lvl>
    <w:lvl w:ilvl="2" w:tplc="AB1834EE" w:tentative="1">
      <w:start w:val="1"/>
      <w:numFmt w:val="bullet"/>
      <w:lvlText w:val="⮚"/>
      <w:lvlJc w:val="left"/>
      <w:pPr>
        <w:tabs>
          <w:tab w:val="num" w:pos="2160"/>
        </w:tabs>
        <w:ind w:left="2160" w:hanging="360"/>
      </w:pPr>
      <w:rPr>
        <w:rFonts w:ascii="Segoe UI Symbol" w:hAnsi="Segoe UI Symbol" w:hint="default"/>
      </w:rPr>
    </w:lvl>
    <w:lvl w:ilvl="3" w:tplc="1EE24C6A" w:tentative="1">
      <w:start w:val="1"/>
      <w:numFmt w:val="bullet"/>
      <w:lvlText w:val="⮚"/>
      <w:lvlJc w:val="left"/>
      <w:pPr>
        <w:tabs>
          <w:tab w:val="num" w:pos="2880"/>
        </w:tabs>
        <w:ind w:left="2880" w:hanging="360"/>
      </w:pPr>
      <w:rPr>
        <w:rFonts w:ascii="Segoe UI Symbol" w:hAnsi="Segoe UI Symbol" w:hint="default"/>
      </w:rPr>
    </w:lvl>
    <w:lvl w:ilvl="4" w:tplc="E6FA8DDA" w:tentative="1">
      <w:start w:val="1"/>
      <w:numFmt w:val="bullet"/>
      <w:lvlText w:val="⮚"/>
      <w:lvlJc w:val="left"/>
      <w:pPr>
        <w:tabs>
          <w:tab w:val="num" w:pos="3600"/>
        </w:tabs>
        <w:ind w:left="3600" w:hanging="360"/>
      </w:pPr>
      <w:rPr>
        <w:rFonts w:ascii="Segoe UI Symbol" w:hAnsi="Segoe UI Symbol" w:hint="default"/>
      </w:rPr>
    </w:lvl>
    <w:lvl w:ilvl="5" w:tplc="71043A4E" w:tentative="1">
      <w:start w:val="1"/>
      <w:numFmt w:val="bullet"/>
      <w:lvlText w:val="⮚"/>
      <w:lvlJc w:val="left"/>
      <w:pPr>
        <w:tabs>
          <w:tab w:val="num" w:pos="4320"/>
        </w:tabs>
        <w:ind w:left="4320" w:hanging="360"/>
      </w:pPr>
      <w:rPr>
        <w:rFonts w:ascii="Segoe UI Symbol" w:hAnsi="Segoe UI Symbol" w:hint="default"/>
      </w:rPr>
    </w:lvl>
    <w:lvl w:ilvl="6" w:tplc="1B68E828" w:tentative="1">
      <w:start w:val="1"/>
      <w:numFmt w:val="bullet"/>
      <w:lvlText w:val="⮚"/>
      <w:lvlJc w:val="left"/>
      <w:pPr>
        <w:tabs>
          <w:tab w:val="num" w:pos="5040"/>
        </w:tabs>
        <w:ind w:left="5040" w:hanging="360"/>
      </w:pPr>
      <w:rPr>
        <w:rFonts w:ascii="Segoe UI Symbol" w:hAnsi="Segoe UI Symbol" w:hint="default"/>
      </w:rPr>
    </w:lvl>
    <w:lvl w:ilvl="7" w:tplc="F508B3A0" w:tentative="1">
      <w:start w:val="1"/>
      <w:numFmt w:val="bullet"/>
      <w:lvlText w:val="⮚"/>
      <w:lvlJc w:val="left"/>
      <w:pPr>
        <w:tabs>
          <w:tab w:val="num" w:pos="5760"/>
        </w:tabs>
        <w:ind w:left="5760" w:hanging="360"/>
      </w:pPr>
      <w:rPr>
        <w:rFonts w:ascii="Segoe UI Symbol" w:hAnsi="Segoe UI Symbol" w:hint="default"/>
      </w:rPr>
    </w:lvl>
    <w:lvl w:ilvl="8" w:tplc="B5481F20" w:tentative="1">
      <w:start w:val="1"/>
      <w:numFmt w:val="bullet"/>
      <w:lvlText w:val="⮚"/>
      <w:lvlJc w:val="left"/>
      <w:pPr>
        <w:tabs>
          <w:tab w:val="num" w:pos="6480"/>
        </w:tabs>
        <w:ind w:left="6480" w:hanging="360"/>
      </w:pPr>
      <w:rPr>
        <w:rFonts w:ascii="Segoe UI Symbol" w:hAnsi="Segoe UI Symbol" w:hint="default"/>
      </w:rPr>
    </w:lvl>
  </w:abstractNum>
  <w:abstractNum w:abstractNumId="33" w15:restartNumberingAfterBreak="0">
    <w:nsid w:val="5A3A3287"/>
    <w:multiLevelType w:val="hybridMultilevel"/>
    <w:tmpl w:val="42D44690"/>
    <w:lvl w:ilvl="0" w:tplc="85A45688">
      <w:start w:val="1"/>
      <w:numFmt w:val="bullet"/>
      <w:lvlText w:val="⮚"/>
      <w:lvlJc w:val="left"/>
      <w:pPr>
        <w:tabs>
          <w:tab w:val="num" w:pos="720"/>
        </w:tabs>
        <w:ind w:left="720" w:hanging="360"/>
      </w:pPr>
      <w:rPr>
        <w:rFonts w:ascii="Segoe UI Symbol" w:hAnsi="Segoe UI Symbol" w:hint="default"/>
      </w:rPr>
    </w:lvl>
    <w:lvl w:ilvl="1" w:tplc="212029D0">
      <w:start w:val="1"/>
      <w:numFmt w:val="bullet"/>
      <w:lvlText w:val="⮚"/>
      <w:lvlJc w:val="left"/>
      <w:pPr>
        <w:tabs>
          <w:tab w:val="num" w:pos="1440"/>
        </w:tabs>
        <w:ind w:left="1440" w:hanging="360"/>
      </w:pPr>
      <w:rPr>
        <w:rFonts w:ascii="Segoe UI Symbol" w:hAnsi="Segoe UI Symbol" w:hint="default"/>
      </w:rPr>
    </w:lvl>
    <w:lvl w:ilvl="2" w:tplc="88A00C70" w:tentative="1">
      <w:start w:val="1"/>
      <w:numFmt w:val="bullet"/>
      <w:lvlText w:val="⮚"/>
      <w:lvlJc w:val="left"/>
      <w:pPr>
        <w:tabs>
          <w:tab w:val="num" w:pos="2160"/>
        </w:tabs>
        <w:ind w:left="2160" w:hanging="360"/>
      </w:pPr>
      <w:rPr>
        <w:rFonts w:ascii="Segoe UI Symbol" w:hAnsi="Segoe UI Symbol" w:hint="default"/>
      </w:rPr>
    </w:lvl>
    <w:lvl w:ilvl="3" w:tplc="716E05E2" w:tentative="1">
      <w:start w:val="1"/>
      <w:numFmt w:val="bullet"/>
      <w:lvlText w:val="⮚"/>
      <w:lvlJc w:val="left"/>
      <w:pPr>
        <w:tabs>
          <w:tab w:val="num" w:pos="2880"/>
        </w:tabs>
        <w:ind w:left="2880" w:hanging="360"/>
      </w:pPr>
      <w:rPr>
        <w:rFonts w:ascii="Segoe UI Symbol" w:hAnsi="Segoe UI Symbol" w:hint="default"/>
      </w:rPr>
    </w:lvl>
    <w:lvl w:ilvl="4" w:tplc="1BB0B0F4" w:tentative="1">
      <w:start w:val="1"/>
      <w:numFmt w:val="bullet"/>
      <w:lvlText w:val="⮚"/>
      <w:lvlJc w:val="left"/>
      <w:pPr>
        <w:tabs>
          <w:tab w:val="num" w:pos="3600"/>
        </w:tabs>
        <w:ind w:left="3600" w:hanging="360"/>
      </w:pPr>
      <w:rPr>
        <w:rFonts w:ascii="Segoe UI Symbol" w:hAnsi="Segoe UI Symbol" w:hint="default"/>
      </w:rPr>
    </w:lvl>
    <w:lvl w:ilvl="5" w:tplc="11F08C84" w:tentative="1">
      <w:start w:val="1"/>
      <w:numFmt w:val="bullet"/>
      <w:lvlText w:val="⮚"/>
      <w:lvlJc w:val="left"/>
      <w:pPr>
        <w:tabs>
          <w:tab w:val="num" w:pos="4320"/>
        </w:tabs>
        <w:ind w:left="4320" w:hanging="360"/>
      </w:pPr>
      <w:rPr>
        <w:rFonts w:ascii="Segoe UI Symbol" w:hAnsi="Segoe UI Symbol" w:hint="default"/>
      </w:rPr>
    </w:lvl>
    <w:lvl w:ilvl="6" w:tplc="0EF64624" w:tentative="1">
      <w:start w:val="1"/>
      <w:numFmt w:val="bullet"/>
      <w:lvlText w:val="⮚"/>
      <w:lvlJc w:val="left"/>
      <w:pPr>
        <w:tabs>
          <w:tab w:val="num" w:pos="5040"/>
        </w:tabs>
        <w:ind w:left="5040" w:hanging="360"/>
      </w:pPr>
      <w:rPr>
        <w:rFonts w:ascii="Segoe UI Symbol" w:hAnsi="Segoe UI Symbol" w:hint="default"/>
      </w:rPr>
    </w:lvl>
    <w:lvl w:ilvl="7" w:tplc="5802A5EA" w:tentative="1">
      <w:start w:val="1"/>
      <w:numFmt w:val="bullet"/>
      <w:lvlText w:val="⮚"/>
      <w:lvlJc w:val="left"/>
      <w:pPr>
        <w:tabs>
          <w:tab w:val="num" w:pos="5760"/>
        </w:tabs>
        <w:ind w:left="5760" w:hanging="360"/>
      </w:pPr>
      <w:rPr>
        <w:rFonts w:ascii="Segoe UI Symbol" w:hAnsi="Segoe UI Symbol" w:hint="default"/>
      </w:rPr>
    </w:lvl>
    <w:lvl w:ilvl="8" w:tplc="B2EA332C" w:tentative="1">
      <w:start w:val="1"/>
      <w:numFmt w:val="bullet"/>
      <w:lvlText w:val="⮚"/>
      <w:lvlJc w:val="left"/>
      <w:pPr>
        <w:tabs>
          <w:tab w:val="num" w:pos="6480"/>
        </w:tabs>
        <w:ind w:left="6480" w:hanging="360"/>
      </w:pPr>
      <w:rPr>
        <w:rFonts w:ascii="Segoe UI Symbol" w:hAnsi="Segoe UI Symbol" w:hint="default"/>
      </w:rPr>
    </w:lvl>
  </w:abstractNum>
  <w:abstractNum w:abstractNumId="34" w15:restartNumberingAfterBreak="0">
    <w:nsid w:val="5D2812C4"/>
    <w:multiLevelType w:val="hybridMultilevel"/>
    <w:tmpl w:val="1D5A6B1A"/>
    <w:lvl w:ilvl="0" w:tplc="61962888">
      <w:start w:val="1"/>
      <w:numFmt w:val="bullet"/>
      <w:lvlText w:val=""/>
      <w:lvlJc w:val="left"/>
      <w:pPr>
        <w:tabs>
          <w:tab w:val="num" w:pos="720"/>
        </w:tabs>
        <w:ind w:left="720" w:hanging="360"/>
      </w:pPr>
      <w:rPr>
        <w:rFonts w:ascii="Wingdings" w:hAnsi="Wingdings" w:hint="default"/>
      </w:rPr>
    </w:lvl>
    <w:lvl w:ilvl="1" w:tplc="50344948">
      <w:start w:val="110"/>
      <w:numFmt w:val="bullet"/>
      <w:lvlText w:val="•"/>
      <w:lvlJc w:val="left"/>
      <w:pPr>
        <w:tabs>
          <w:tab w:val="num" w:pos="1440"/>
        </w:tabs>
        <w:ind w:left="1440" w:hanging="360"/>
      </w:pPr>
      <w:rPr>
        <w:rFonts w:ascii="Arial" w:hAnsi="Arial" w:hint="default"/>
      </w:rPr>
    </w:lvl>
    <w:lvl w:ilvl="2" w:tplc="A9244406" w:tentative="1">
      <w:start w:val="1"/>
      <w:numFmt w:val="bullet"/>
      <w:lvlText w:val=""/>
      <w:lvlJc w:val="left"/>
      <w:pPr>
        <w:tabs>
          <w:tab w:val="num" w:pos="2160"/>
        </w:tabs>
        <w:ind w:left="2160" w:hanging="360"/>
      </w:pPr>
      <w:rPr>
        <w:rFonts w:ascii="Wingdings" w:hAnsi="Wingdings" w:hint="default"/>
      </w:rPr>
    </w:lvl>
    <w:lvl w:ilvl="3" w:tplc="FD8C9A8C" w:tentative="1">
      <w:start w:val="1"/>
      <w:numFmt w:val="bullet"/>
      <w:lvlText w:val=""/>
      <w:lvlJc w:val="left"/>
      <w:pPr>
        <w:tabs>
          <w:tab w:val="num" w:pos="2880"/>
        </w:tabs>
        <w:ind w:left="2880" w:hanging="360"/>
      </w:pPr>
      <w:rPr>
        <w:rFonts w:ascii="Wingdings" w:hAnsi="Wingdings" w:hint="default"/>
      </w:rPr>
    </w:lvl>
    <w:lvl w:ilvl="4" w:tplc="73C4AA06" w:tentative="1">
      <w:start w:val="1"/>
      <w:numFmt w:val="bullet"/>
      <w:lvlText w:val=""/>
      <w:lvlJc w:val="left"/>
      <w:pPr>
        <w:tabs>
          <w:tab w:val="num" w:pos="3600"/>
        </w:tabs>
        <w:ind w:left="3600" w:hanging="360"/>
      </w:pPr>
      <w:rPr>
        <w:rFonts w:ascii="Wingdings" w:hAnsi="Wingdings" w:hint="default"/>
      </w:rPr>
    </w:lvl>
    <w:lvl w:ilvl="5" w:tplc="494A289C" w:tentative="1">
      <w:start w:val="1"/>
      <w:numFmt w:val="bullet"/>
      <w:lvlText w:val=""/>
      <w:lvlJc w:val="left"/>
      <w:pPr>
        <w:tabs>
          <w:tab w:val="num" w:pos="4320"/>
        </w:tabs>
        <w:ind w:left="4320" w:hanging="360"/>
      </w:pPr>
      <w:rPr>
        <w:rFonts w:ascii="Wingdings" w:hAnsi="Wingdings" w:hint="default"/>
      </w:rPr>
    </w:lvl>
    <w:lvl w:ilvl="6" w:tplc="68226348" w:tentative="1">
      <w:start w:val="1"/>
      <w:numFmt w:val="bullet"/>
      <w:lvlText w:val=""/>
      <w:lvlJc w:val="left"/>
      <w:pPr>
        <w:tabs>
          <w:tab w:val="num" w:pos="5040"/>
        </w:tabs>
        <w:ind w:left="5040" w:hanging="360"/>
      </w:pPr>
      <w:rPr>
        <w:rFonts w:ascii="Wingdings" w:hAnsi="Wingdings" w:hint="default"/>
      </w:rPr>
    </w:lvl>
    <w:lvl w:ilvl="7" w:tplc="33C0A488" w:tentative="1">
      <w:start w:val="1"/>
      <w:numFmt w:val="bullet"/>
      <w:lvlText w:val=""/>
      <w:lvlJc w:val="left"/>
      <w:pPr>
        <w:tabs>
          <w:tab w:val="num" w:pos="5760"/>
        </w:tabs>
        <w:ind w:left="5760" w:hanging="360"/>
      </w:pPr>
      <w:rPr>
        <w:rFonts w:ascii="Wingdings" w:hAnsi="Wingdings" w:hint="default"/>
      </w:rPr>
    </w:lvl>
    <w:lvl w:ilvl="8" w:tplc="895C19B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AE59C3"/>
    <w:multiLevelType w:val="hybridMultilevel"/>
    <w:tmpl w:val="9D7C07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CB29C1"/>
    <w:multiLevelType w:val="hybridMultilevel"/>
    <w:tmpl w:val="AA0C153A"/>
    <w:lvl w:ilvl="0" w:tplc="A344E1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725FA7"/>
    <w:multiLevelType w:val="hybridMultilevel"/>
    <w:tmpl w:val="AFEC8384"/>
    <w:lvl w:ilvl="0" w:tplc="DBBC4ACC">
      <w:start w:val="1"/>
      <w:numFmt w:val="bullet"/>
      <w:lvlText w:val=""/>
      <w:lvlJc w:val="left"/>
      <w:pPr>
        <w:tabs>
          <w:tab w:val="num" w:pos="720"/>
        </w:tabs>
        <w:ind w:left="720" w:hanging="360"/>
      </w:pPr>
      <w:rPr>
        <w:rFonts w:ascii="Wingdings" w:hAnsi="Wingdings" w:hint="default"/>
      </w:rPr>
    </w:lvl>
    <w:lvl w:ilvl="1" w:tplc="0BCE256E">
      <w:start w:val="110"/>
      <w:numFmt w:val="bullet"/>
      <w:lvlText w:val="•"/>
      <w:lvlJc w:val="left"/>
      <w:pPr>
        <w:tabs>
          <w:tab w:val="num" w:pos="1440"/>
        </w:tabs>
        <w:ind w:left="1440" w:hanging="360"/>
      </w:pPr>
      <w:rPr>
        <w:rFonts w:ascii="Arial" w:hAnsi="Arial" w:hint="default"/>
      </w:rPr>
    </w:lvl>
    <w:lvl w:ilvl="2" w:tplc="5000A3F4" w:tentative="1">
      <w:start w:val="1"/>
      <w:numFmt w:val="bullet"/>
      <w:lvlText w:val=""/>
      <w:lvlJc w:val="left"/>
      <w:pPr>
        <w:tabs>
          <w:tab w:val="num" w:pos="2160"/>
        </w:tabs>
        <w:ind w:left="2160" w:hanging="360"/>
      </w:pPr>
      <w:rPr>
        <w:rFonts w:ascii="Wingdings" w:hAnsi="Wingdings" w:hint="default"/>
      </w:rPr>
    </w:lvl>
    <w:lvl w:ilvl="3" w:tplc="3D26450C" w:tentative="1">
      <w:start w:val="1"/>
      <w:numFmt w:val="bullet"/>
      <w:lvlText w:val=""/>
      <w:lvlJc w:val="left"/>
      <w:pPr>
        <w:tabs>
          <w:tab w:val="num" w:pos="2880"/>
        </w:tabs>
        <w:ind w:left="2880" w:hanging="360"/>
      </w:pPr>
      <w:rPr>
        <w:rFonts w:ascii="Wingdings" w:hAnsi="Wingdings" w:hint="default"/>
      </w:rPr>
    </w:lvl>
    <w:lvl w:ilvl="4" w:tplc="7444C5AC" w:tentative="1">
      <w:start w:val="1"/>
      <w:numFmt w:val="bullet"/>
      <w:lvlText w:val=""/>
      <w:lvlJc w:val="left"/>
      <w:pPr>
        <w:tabs>
          <w:tab w:val="num" w:pos="3600"/>
        </w:tabs>
        <w:ind w:left="3600" w:hanging="360"/>
      </w:pPr>
      <w:rPr>
        <w:rFonts w:ascii="Wingdings" w:hAnsi="Wingdings" w:hint="default"/>
      </w:rPr>
    </w:lvl>
    <w:lvl w:ilvl="5" w:tplc="EBFCCAEA" w:tentative="1">
      <w:start w:val="1"/>
      <w:numFmt w:val="bullet"/>
      <w:lvlText w:val=""/>
      <w:lvlJc w:val="left"/>
      <w:pPr>
        <w:tabs>
          <w:tab w:val="num" w:pos="4320"/>
        </w:tabs>
        <w:ind w:left="4320" w:hanging="360"/>
      </w:pPr>
      <w:rPr>
        <w:rFonts w:ascii="Wingdings" w:hAnsi="Wingdings" w:hint="default"/>
      </w:rPr>
    </w:lvl>
    <w:lvl w:ilvl="6" w:tplc="0FFA6DEE" w:tentative="1">
      <w:start w:val="1"/>
      <w:numFmt w:val="bullet"/>
      <w:lvlText w:val=""/>
      <w:lvlJc w:val="left"/>
      <w:pPr>
        <w:tabs>
          <w:tab w:val="num" w:pos="5040"/>
        </w:tabs>
        <w:ind w:left="5040" w:hanging="360"/>
      </w:pPr>
      <w:rPr>
        <w:rFonts w:ascii="Wingdings" w:hAnsi="Wingdings" w:hint="default"/>
      </w:rPr>
    </w:lvl>
    <w:lvl w:ilvl="7" w:tplc="AD8C5712" w:tentative="1">
      <w:start w:val="1"/>
      <w:numFmt w:val="bullet"/>
      <w:lvlText w:val=""/>
      <w:lvlJc w:val="left"/>
      <w:pPr>
        <w:tabs>
          <w:tab w:val="num" w:pos="5760"/>
        </w:tabs>
        <w:ind w:left="5760" w:hanging="360"/>
      </w:pPr>
      <w:rPr>
        <w:rFonts w:ascii="Wingdings" w:hAnsi="Wingdings" w:hint="default"/>
      </w:rPr>
    </w:lvl>
    <w:lvl w:ilvl="8" w:tplc="C542F30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6C3670"/>
    <w:multiLevelType w:val="hybridMultilevel"/>
    <w:tmpl w:val="6D2A4C20"/>
    <w:lvl w:ilvl="0" w:tplc="B8DA38D4">
      <w:start w:val="1"/>
      <w:numFmt w:val="bullet"/>
      <w:lvlText w:val="⮚"/>
      <w:lvlJc w:val="left"/>
      <w:pPr>
        <w:tabs>
          <w:tab w:val="num" w:pos="720"/>
        </w:tabs>
        <w:ind w:left="720" w:hanging="360"/>
      </w:pPr>
      <w:rPr>
        <w:rFonts w:ascii="Segoe UI Symbol" w:hAnsi="Segoe UI Symbol" w:hint="default"/>
      </w:rPr>
    </w:lvl>
    <w:lvl w:ilvl="1" w:tplc="9D02C96E" w:tentative="1">
      <w:start w:val="1"/>
      <w:numFmt w:val="bullet"/>
      <w:lvlText w:val="⮚"/>
      <w:lvlJc w:val="left"/>
      <w:pPr>
        <w:tabs>
          <w:tab w:val="num" w:pos="1440"/>
        </w:tabs>
        <w:ind w:left="1440" w:hanging="360"/>
      </w:pPr>
      <w:rPr>
        <w:rFonts w:ascii="Segoe UI Symbol" w:hAnsi="Segoe UI Symbol" w:hint="default"/>
      </w:rPr>
    </w:lvl>
    <w:lvl w:ilvl="2" w:tplc="21923A06" w:tentative="1">
      <w:start w:val="1"/>
      <w:numFmt w:val="bullet"/>
      <w:lvlText w:val="⮚"/>
      <w:lvlJc w:val="left"/>
      <w:pPr>
        <w:tabs>
          <w:tab w:val="num" w:pos="2160"/>
        </w:tabs>
        <w:ind w:left="2160" w:hanging="360"/>
      </w:pPr>
      <w:rPr>
        <w:rFonts w:ascii="Segoe UI Symbol" w:hAnsi="Segoe UI Symbol" w:hint="default"/>
      </w:rPr>
    </w:lvl>
    <w:lvl w:ilvl="3" w:tplc="5F7ECD14" w:tentative="1">
      <w:start w:val="1"/>
      <w:numFmt w:val="bullet"/>
      <w:lvlText w:val="⮚"/>
      <w:lvlJc w:val="left"/>
      <w:pPr>
        <w:tabs>
          <w:tab w:val="num" w:pos="2880"/>
        </w:tabs>
        <w:ind w:left="2880" w:hanging="360"/>
      </w:pPr>
      <w:rPr>
        <w:rFonts w:ascii="Segoe UI Symbol" w:hAnsi="Segoe UI Symbol" w:hint="default"/>
      </w:rPr>
    </w:lvl>
    <w:lvl w:ilvl="4" w:tplc="26587A7E" w:tentative="1">
      <w:start w:val="1"/>
      <w:numFmt w:val="bullet"/>
      <w:lvlText w:val="⮚"/>
      <w:lvlJc w:val="left"/>
      <w:pPr>
        <w:tabs>
          <w:tab w:val="num" w:pos="3600"/>
        </w:tabs>
        <w:ind w:left="3600" w:hanging="360"/>
      </w:pPr>
      <w:rPr>
        <w:rFonts w:ascii="Segoe UI Symbol" w:hAnsi="Segoe UI Symbol" w:hint="default"/>
      </w:rPr>
    </w:lvl>
    <w:lvl w:ilvl="5" w:tplc="A6C09FE4" w:tentative="1">
      <w:start w:val="1"/>
      <w:numFmt w:val="bullet"/>
      <w:lvlText w:val="⮚"/>
      <w:lvlJc w:val="left"/>
      <w:pPr>
        <w:tabs>
          <w:tab w:val="num" w:pos="4320"/>
        </w:tabs>
        <w:ind w:left="4320" w:hanging="360"/>
      </w:pPr>
      <w:rPr>
        <w:rFonts w:ascii="Segoe UI Symbol" w:hAnsi="Segoe UI Symbol" w:hint="default"/>
      </w:rPr>
    </w:lvl>
    <w:lvl w:ilvl="6" w:tplc="8B407E62" w:tentative="1">
      <w:start w:val="1"/>
      <w:numFmt w:val="bullet"/>
      <w:lvlText w:val="⮚"/>
      <w:lvlJc w:val="left"/>
      <w:pPr>
        <w:tabs>
          <w:tab w:val="num" w:pos="5040"/>
        </w:tabs>
        <w:ind w:left="5040" w:hanging="360"/>
      </w:pPr>
      <w:rPr>
        <w:rFonts w:ascii="Segoe UI Symbol" w:hAnsi="Segoe UI Symbol" w:hint="default"/>
      </w:rPr>
    </w:lvl>
    <w:lvl w:ilvl="7" w:tplc="D7C2A49C" w:tentative="1">
      <w:start w:val="1"/>
      <w:numFmt w:val="bullet"/>
      <w:lvlText w:val="⮚"/>
      <w:lvlJc w:val="left"/>
      <w:pPr>
        <w:tabs>
          <w:tab w:val="num" w:pos="5760"/>
        </w:tabs>
        <w:ind w:left="5760" w:hanging="360"/>
      </w:pPr>
      <w:rPr>
        <w:rFonts w:ascii="Segoe UI Symbol" w:hAnsi="Segoe UI Symbol" w:hint="default"/>
      </w:rPr>
    </w:lvl>
    <w:lvl w:ilvl="8" w:tplc="953237C6" w:tentative="1">
      <w:start w:val="1"/>
      <w:numFmt w:val="bullet"/>
      <w:lvlText w:val="⮚"/>
      <w:lvlJc w:val="left"/>
      <w:pPr>
        <w:tabs>
          <w:tab w:val="num" w:pos="6480"/>
        </w:tabs>
        <w:ind w:left="6480" w:hanging="360"/>
      </w:pPr>
      <w:rPr>
        <w:rFonts w:ascii="Segoe UI Symbol" w:hAnsi="Segoe UI Symbol" w:hint="default"/>
      </w:rPr>
    </w:lvl>
  </w:abstractNum>
  <w:abstractNum w:abstractNumId="39" w15:restartNumberingAfterBreak="0">
    <w:nsid w:val="699A0DFB"/>
    <w:multiLevelType w:val="hybridMultilevel"/>
    <w:tmpl w:val="16D67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A046F1F"/>
    <w:multiLevelType w:val="hybridMultilevel"/>
    <w:tmpl w:val="73F6478E"/>
    <w:lvl w:ilvl="0" w:tplc="84A405EA">
      <w:start w:val="1"/>
      <w:numFmt w:val="bullet"/>
      <w:lvlText w:val="⮚"/>
      <w:lvlJc w:val="left"/>
      <w:pPr>
        <w:tabs>
          <w:tab w:val="num" w:pos="720"/>
        </w:tabs>
        <w:ind w:left="720" w:hanging="360"/>
      </w:pPr>
      <w:rPr>
        <w:rFonts w:ascii="Segoe UI Symbol" w:hAnsi="Segoe UI Symbol" w:hint="default"/>
      </w:rPr>
    </w:lvl>
    <w:lvl w:ilvl="1" w:tplc="1DDA8B5A">
      <w:start w:val="270"/>
      <w:numFmt w:val="bullet"/>
      <w:lvlText w:val="o"/>
      <w:lvlJc w:val="left"/>
      <w:pPr>
        <w:tabs>
          <w:tab w:val="num" w:pos="1440"/>
        </w:tabs>
        <w:ind w:left="1440" w:hanging="360"/>
      </w:pPr>
      <w:rPr>
        <w:rFonts w:ascii="Courier New" w:hAnsi="Courier New" w:hint="default"/>
      </w:rPr>
    </w:lvl>
    <w:lvl w:ilvl="2" w:tplc="9C40BC3A" w:tentative="1">
      <w:start w:val="1"/>
      <w:numFmt w:val="bullet"/>
      <w:lvlText w:val="⮚"/>
      <w:lvlJc w:val="left"/>
      <w:pPr>
        <w:tabs>
          <w:tab w:val="num" w:pos="2160"/>
        </w:tabs>
        <w:ind w:left="2160" w:hanging="360"/>
      </w:pPr>
      <w:rPr>
        <w:rFonts w:ascii="Segoe UI Symbol" w:hAnsi="Segoe UI Symbol" w:hint="default"/>
      </w:rPr>
    </w:lvl>
    <w:lvl w:ilvl="3" w:tplc="8EF01BCA" w:tentative="1">
      <w:start w:val="1"/>
      <w:numFmt w:val="bullet"/>
      <w:lvlText w:val="⮚"/>
      <w:lvlJc w:val="left"/>
      <w:pPr>
        <w:tabs>
          <w:tab w:val="num" w:pos="2880"/>
        </w:tabs>
        <w:ind w:left="2880" w:hanging="360"/>
      </w:pPr>
      <w:rPr>
        <w:rFonts w:ascii="Segoe UI Symbol" w:hAnsi="Segoe UI Symbol" w:hint="default"/>
      </w:rPr>
    </w:lvl>
    <w:lvl w:ilvl="4" w:tplc="63E0FF0A" w:tentative="1">
      <w:start w:val="1"/>
      <w:numFmt w:val="bullet"/>
      <w:lvlText w:val="⮚"/>
      <w:lvlJc w:val="left"/>
      <w:pPr>
        <w:tabs>
          <w:tab w:val="num" w:pos="3600"/>
        </w:tabs>
        <w:ind w:left="3600" w:hanging="360"/>
      </w:pPr>
      <w:rPr>
        <w:rFonts w:ascii="Segoe UI Symbol" w:hAnsi="Segoe UI Symbol" w:hint="default"/>
      </w:rPr>
    </w:lvl>
    <w:lvl w:ilvl="5" w:tplc="D9460C8E" w:tentative="1">
      <w:start w:val="1"/>
      <w:numFmt w:val="bullet"/>
      <w:lvlText w:val="⮚"/>
      <w:lvlJc w:val="left"/>
      <w:pPr>
        <w:tabs>
          <w:tab w:val="num" w:pos="4320"/>
        </w:tabs>
        <w:ind w:left="4320" w:hanging="360"/>
      </w:pPr>
      <w:rPr>
        <w:rFonts w:ascii="Segoe UI Symbol" w:hAnsi="Segoe UI Symbol" w:hint="default"/>
      </w:rPr>
    </w:lvl>
    <w:lvl w:ilvl="6" w:tplc="07209F9A" w:tentative="1">
      <w:start w:val="1"/>
      <w:numFmt w:val="bullet"/>
      <w:lvlText w:val="⮚"/>
      <w:lvlJc w:val="left"/>
      <w:pPr>
        <w:tabs>
          <w:tab w:val="num" w:pos="5040"/>
        </w:tabs>
        <w:ind w:left="5040" w:hanging="360"/>
      </w:pPr>
      <w:rPr>
        <w:rFonts w:ascii="Segoe UI Symbol" w:hAnsi="Segoe UI Symbol" w:hint="default"/>
      </w:rPr>
    </w:lvl>
    <w:lvl w:ilvl="7" w:tplc="83E8F5D2" w:tentative="1">
      <w:start w:val="1"/>
      <w:numFmt w:val="bullet"/>
      <w:lvlText w:val="⮚"/>
      <w:lvlJc w:val="left"/>
      <w:pPr>
        <w:tabs>
          <w:tab w:val="num" w:pos="5760"/>
        </w:tabs>
        <w:ind w:left="5760" w:hanging="360"/>
      </w:pPr>
      <w:rPr>
        <w:rFonts w:ascii="Segoe UI Symbol" w:hAnsi="Segoe UI Symbol" w:hint="default"/>
      </w:rPr>
    </w:lvl>
    <w:lvl w:ilvl="8" w:tplc="271E11C4" w:tentative="1">
      <w:start w:val="1"/>
      <w:numFmt w:val="bullet"/>
      <w:lvlText w:val="⮚"/>
      <w:lvlJc w:val="left"/>
      <w:pPr>
        <w:tabs>
          <w:tab w:val="num" w:pos="6480"/>
        </w:tabs>
        <w:ind w:left="6480" w:hanging="360"/>
      </w:pPr>
      <w:rPr>
        <w:rFonts w:ascii="Segoe UI Symbol" w:hAnsi="Segoe UI Symbol" w:hint="default"/>
      </w:rPr>
    </w:lvl>
  </w:abstractNum>
  <w:abstractNum w:abstractNumId="41" w15:restartNumberingAfterBreak="0">
    <w:nsid w:val="6ED24C3C"/>
    <w:multiLevelType w:val="hybridMultilevel"/>
    <w:tmpl w:val="CBE23B86"/>
    <w:lvl w:ilvl="0" w:tplc="DCD46C22">
      <w:start w:val="1"/>
      <w:numFmt w:val="bullet"/>
      <w:lvlText w:val="⮚"/>
      <w:lvlJc w:val="left"/>
      <w:pPr>
        <w:tabs>
          <w:tab w:val="num" w:pos="720"/>
        </w:tabs>
        <w:ind w:left="720" w:hanging="360"/>
      </w:pPr>
      <w:rPr>
        <w:rFonts w:ascii="Segoe UI Symbol" w:hAnsi="Segoe UI Symbol" w:hint="default"/>
      </w:rPr>
    </w:lvl>
    <w:lvl w:ilvl="1" w:tplc="DB6E83CC" w:tentative="1">
      <w:start w:val="1"/>
      <w:numFmt w:val="bullet"/>
      <w:lvlText w:val="⮚"/>
      <w:lvlJc w:val="left"/>
      <w:pPr>
        <w:tabs>
          <w:tab w:val="num" w:pos="1440"/>
        </w:tabs>
        <w:ind w:left="1440" w:hanging="360"/>
      </w:pPr>
      <w:rPr>
        <w:rFonts w:ascii="Segoe UI Symbol" w:hAnsi="Segoe UI Symbol" w:hint="default"/>
      </w:rPr>
    </w:lvl>
    <w:lvl w:ilvl="2" w:tplc="B8FABFC4" w:tentative="1">
      <w:start w:val="1"/>
      <w:numFmt w:val="bullet"/>
      <w:lvlText w:val="⮚"/>
      <w:lvlJc w:val="left"/>
      <w:pPr>
        <w:tabs>
          <w:tab w:val="num" w:pos="2160"/>
        </w:tabs>
        <w:ind w:left="2160" w:hanging="360"/>
      </w:pPr>
      <w:rPr>
        <w:rFonts w:ascii="Segoe UI Symbol" w:hAnsi="Segoe UI Symbol" w:hint="default"/>
      </w:rPr>
    </w:lvl>
    <w:lvl w:ilvl="3" w:tplc="4CEA140A" w:tentative="1">
      <w:start w:val="1"/>
      <w:numFmt w:val="bullet"/>
      <w:lvlText w:val="⮚"/>
      <w:lvlJc w:val="left"/>
      <w:pPr>
        <w:tabs>
          <w:tab w:val="num" w:pos="2880"/>
        </w:tabs>
        <w:ind w:left="2880" w:hanging="360"/>
      </w:pPr>
      <w:rPr>
        <w:rFonts w:ascii="Segoe UI Symbol" w:hAnsi="Segoe UI Symbol" w:hint="default"/>
      </w:rPr>
    </w:lvl>
    <w:lvl w:ilvl="4" w:tplc="0B9A56A4" w:tentative="1">
      <w:start w:val="1"/>
      <w:numFmt w:val="bullet"/>
      <w:lvlText w:val="⮚"/>
      <w:lvlJc w:val="left"/>
      <w:pPr>
        <w:tabs>
          <w:tab w:val="num" w:pos="3600"/>
        </w:tabs>
        <w:ind w:left="3600" w:hanging="360"/>
      </w:pPr>
      <w:rPr>
        <w:rFonts w:ascii="Segoe UI Symbol" w:hAnsi="Segoe UI Symbol" w:hint="default"/>
      </w:rPr>
    </w:lvl>
    <w:lvl w:ilvl="5" w:tplc="5100BE74" w:tentative="1">
      <w:start w:val="1"/>
      <w:numFmt w:val="bullet"/>
      <w:lvlText w:val="⮚"/>
      <w:lvlJc w:val="left"/>
      <w:pPr>
        <w:tabs>
          <w:tab w:val="num" w:pos="4320"/>
        </w:tabs>
        <w:ind w:left="4320" w:hanging="360"/>
      </w:pPr>
      <w:rPr>
        <w:rFonts w:ascii="Segoe UI Symbol" w:hAnsi="Segoe UI Symbol" w:hint="default"/>
      </w:rPr>
    </w:lvl>
    <w:lvl w:ilvl="6" w:tplc="008E82CC" w:tentative="1">
      <w:start w:val="1"/>
      <w:numFmt w:val="bullet"/>
      <w:lvlText w:val="⮚"/>
      <w:lvlJc w:val="left"/>
      <w:pPr>
        <w:tabs>
          <w:tab w:val="num" w:pos="5040"/>
        </w:tabs>
        <w:ind w:left="5040" w:hanging="360"/>
      </w:pPr>
      <w:rPr>
        <w:rFonts w:ascii="Segoe UI Symbol" w:hAnsi="Segoe UI Symbol" w:hint="default"/>
      </w:rPr>
    </w:lvl>
    <w:lvl w:ilvl="7" w:tplc="5482889A" w:tentative="1">
      <w:start w:val="1"/>
      <w:numFmt w:val="bullet"/>
      <w:lvlText w:val="⮚"/>
      <w:lvlJc w:val="left"/>
      <w:pPr>
        <w:tabs>
          <w:tab w:val="num" w:pos="5760"/>
        </w:tabs>
        <w:ind w:left="5760" w:hanging="360"/>
      </w:pPr>
      <w:rPr>
        <w:rFonts w:ascii="Segoe UI Symbol" w:hAnsi="Segoe UI Symbol" w:hint="default"/>
      </w:rPr>
    </w:lvl>
    <w:lvl w:ilvl="8" w:tplc="1E4CB300" w:tentative="1">
      <w:start w:val="1"/>
      <w:numFmt w:val="bullet"/>
      <w:lvlText w:val="⮚"/>
      <w:lvlJc w:val="left"/>
      <w:pPr>
        <w:tabs>
          <w:tab w:val="num" w:pos="6480"/>
        </w:tabs>
        <w:ind w:left="6480" w:hanging="360"/>
      </w:pPr>
      <w:rPr>
        <w:rFonts w:ascii="Segoe UI Symbol" w:hAnsi="Segoe UI Symbol" w:hint="default"/>
      </w:rPr>
    </w:lvl>
  </w:abstractNum>
  <w:abstractNum w:abstractNumId="42" w15:restartNumberingAfterBreak="0">
    <w:nsid w:val="73BC4AFD"/>
    <w:multiLevelType w:val="hybridMultilevel"/>
    <w:tmpl w:val="1AA6C4B0"/>
    <w:lvl w:ilvl="0" w:tplc="434AD77C">
      <w:start w:val="1"/>
      <w:numFmt w:val="bullet"/>
      <w:lvlText w:val="⮚"/>
      <w:lvlJc w:val="left"/>
      <w:pPr>
        <w:ind w:left="900" w:hanging="360"/>
      </w:pPr>
      <w:rPr>
        <w:rFonts w:ascii="Segoe UI Symbol" w:hAnsi="Segoe UI 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74DA1678"/>
    <w:multiLevelType w:val="hybridMultilevel"/>
    <w:tmpl w:val="018805B8"/>
    <w:lvl w:ilvl="0" w:tplc="AFFAA4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A05EC4"/>
    <w:multiLevelType w:val="hybridMultilevel"/>
    <w:tmpl w:val="C03EA5C8"/>
    <w:lvl w:ilvl="0" w:tplc="97BA1ED6">
      <w:start w:val="1"/>
      <w:numFmt w:val="bullet"/>
      <w:lvlText w:val=""/>
      <w:lvlJc w:val="left"/>
      <w:pPr>
        <w:tabs>
          <w:tab w:val="num" w:pos="720"/>
        </w:tabs>
        <w:ind w:left="720" w:hanging="360"/>
      </w:pPr>
      <w:rPr>
        <w:rFonts w:ascii="Wingdings" w:hAnsi="Wingdings" w:hint="default"/>
      </w:rPr>
    </w:lvl>
    <w:lvl w:ilvl="1" w:tplc="3C7017C0">
      <w:start w:val="110"/>
      <w:numFmt w:val="bullet"/>
      <w:lvlText w:val="•"/>
      <w:lvlJc w:val="left"/>
      <w:pPr>
        <w:tabs>
          <w:tab w:val="num" w:pos="1440"/>
        </w:tabs>
        <w:ind w:left="1440" w:hanging="360"/>
      </w:pPr>
      <w:rPr>
        <w:rFonts w:ascii="Arial" w:hAnsi="Arial" w:hint="default"/>
      </w:rPr>
    </w:lvl>
    <w:lvl w:ilvl="2" w:tplc="7B144F3A" w:tentative="1">
      <w:start w:val="1"/>
      <w:numFmt w:val="bullet"/>
      <w:lvlText w:val=""/>
      <w:lvlJc w:val="left"/>
      <w:pPr>
        <w:tabs>
          <w:tab w:val="num" w:pos="2160"/>
        </w:tabs>
        <w:ind w:left="2160" w:hanging="360"/>
      </w:pPr>
      <w:rPr>
        <w:rFonts w:ascii="Wingdings" w:hAnsi="Wingdings" w:hint="default"/>
      </w:rPr>
    </w:lvl>
    <w:lvl w:ilvl="3" w:tplc="FB7EB118" w:tentative="1">
      <w:start w:val="1"/>
      <w:numFmt w:val="bullet"/>
      <w:lvlText w:val=""/>
      <w:lvlJc w:val="left"/>
      <w:pPr>
        <w:tabs>
          <w:tab w:val="num" w:pos="2880"/>
        </w:tabs>
        <w:ind w:left="2880" w:hanging="360"/>
      </w:pPr>
      <w:rPr>
        <w:rFonts w:ascii="Wingdings" w:hAnsi="Wingdings" w:hint="default"/>
      </w:rPr>
    </w:lvl>
    <w:lvl w:ilvl="4" w:tplc="5556256E" w:tentative="1">
      <w:start w:val="1"/>
      <w:numFmt w:val="bullet"/>
      <w:lvlText w:val=""/>
      <w:lvlJc w:val="left"/>
      <w:pPr>
        <w:tabs>
          <w:tab w:val="num" w:pos="3600"/>
        </w:tabs>
        <w:ind w:left="3600" w:hanging="360"/>
      </w:pPr>
      <w:rPr>
        <w:rFonts w:ascii="Wingdings" w:hAnsi="Wingdings" w:hint="default"/>
      </w:rPr>
    </w:lvl>
    <w:lvl w:ilvl="5" w:tplc="6580590A" w:tentative="1">
      <w:start w:val="1"/>
      <w:numFmt w:val="bullet"/>
      <w:lvlText w:val=""/>
      <w:lvlJc w:val="left"/>
      <w:pPr>
        <w:tabs>
          <w:tab w:val="num" w:pos="4320"/>
        </w:tabs>
        <w:ind w:left="4320" w:hanging="360"/>
      </w:pPr>
      <w:rPr>
        <w:rFonts w:ascii="Wingdings" w:hAnsi="Wingdings" w:hint="default"/>
      </w:rPr>
    </w:lvl>
    <w:lvl w:ilvl="6" w:tplc="560A1A44" w:tentative="1">
      <w:start w:val="1"/>
      <w:numFmt w:val="bullet"/>
      <w:lvlText w:val=""/>
      <w:lvlJc w:val="left"/>
      <w:pPr>
        <w:tabs>
          <w:tab w:val="num" w:pos="5040"/>
        </w:tabs>
        <w:ind w:left="5040" w:hanging="360"/>
      </w:pPr>
      <w:rPr>
        <w:rFonts w:ascii="Wingdings" w:hAnsi="Wingdings" w:hint="default"/>
      </w:rPr>
    </w:lvl>
    <w:lvl w:ilvl="7" w:tplc="F5BCD4CA" w:tentative="1">
      <w:start w:val="1"/>
      <w:numFmt w:val="bullet"/>
      <w:lvlText w:val=""/>
      <w:lvlJc w:val="left"/>
      <w:pPr>
        <w:tabs>
          <w:tab w:val="num" w:pos="5760"/>
        </w:tabs>
        <w:ind w:left="5760" w:hanging="360"/>
      </w:pPr>
      <w:rPr>
        <w:rFonts w:ascii="Wingdings" w:hAnsi="Wingdings" w:hint="default"/>
      </w:rPr>
    </w:lvl>
    <w:lvl w:ilvl="8" w:tplc="C876133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586EF7"/>
    <w:multiLevelType w:val="hybridMultilevel"/>
    <w:tmpl w:val="500AE8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60DAD"/>
    <w:multiLevelType w:val="hybridMultilevel"/>
    <w:tmpl w:val="CC9E81C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9"/>
  </w:num>
  <w:num w:numId="2">
    <w:abstractNumId w:val="29"/>
  </w:num>
  <w:num w:numId="3">
    <w:abstractNumId w:val="1"/>
  </w:num>
  <w:num w:numId="4">
    <w:abstractNumId w:val="4"/>
  </w:num>
  <w:num w:numId="5">
    <w:abstractNumId w:val="33"/>
  </w:num>
  <w:num w:numId="6">
    <w:abstractNumId w:val="12"/>
  </w:num>
  <w:num w:numId="7">
    <w:abstractNumId w:val="38"/>
  </w:num>
  <w:num w:numId="8">
    <w:abstractNumId w:val="32"/>
  </w:num>
  <w:num w:numId="9">
    <w:abstractNumId w:val="40"/>
  </w:num>
  <w:num w:numId="10">
    <w:abstractNumId w:val="14"/>
  </w:num>
  <w:num w:numId="11">
    <w:abstractNumId w:val="9"/>
  </w:num>
  <w:num w:numId="12">
    <w:abstractNumId w:val="41"/>
  </w:num>
  <w:num w:numId="13">
    <w:abstractNumId w:val="13"/>
  </w:num>
  <w:num w:numId="14">
    <w:abstractNumId w:val="5"/>
  </w:num>
  <w:num w:numId="15">
    <w:abstractNumId w:val="16"/>
  </w:num>
  <w:num w:numId="16">
    <w:abstractNumId w:val="34"/>
  </w:num>
  <w:num w:numId="17">
    <w:abstractNumId w:val="37"/>
  </w:num>
  <w:num w:numId="18">
    <w:abstractNumId w:val="39"/>
  </w:num>
  <w:num w:numId="19">
    <w:abstractNumId w:val="44"/>
  </w:num>
  <w:num w:numId="20">
    <w:abstractNumId w:val="31"/>
  </w:num>
  <w:num w:numId="21">
    <w:abstractNumId w:val="30"/>
  </w:num>
  <w:num w:numId="22">
    <w:abstractNumId w:val="0"/>
  </w:num>
  <w:num w:numId="23">
    <w:abstractNumId w:val="45"/>
  </w:num>
  <w:num w:numId="24">
    <w:abstractNumId w:val="27"/>
  </w:num>
  <w:num w:numId="25">
    <w:abstractNumId w:val="21"/>
  </w:num>
  <w:num w:numId="26">
    <w:abstractNumId w:val="15"/>
  </w:num>
  <w:num w:numId="27">
    <w:abstractNumId w:val="11"/>
  </w:num>
  <w:num w:numId="28">
    <w:abstractNumId w:val="23"/>
  </w:num>
  <w:num w:numId="29">
    <w:abstractNumId w:val="18"/>
  </w:num>
  <w:num w:numId="30">
    <w:abstractNumId w:val="8"/>
  </w:num>
  <w:num w:numId="31">
    <w:abstractNumId w:val="46"/>
  </w:num>
  <w:num w:numId="32">
    <w:abstractNumId w:val="20"/>
  </w:num>
  <w:num w:numId="33">
    <w:abstractNumId w:val="28"/>
  </w:num>
  <w:num w:numId="34">
    <w:abstractNumId w:val="17"/>
  </w:num>
  <w:num w:numId="35">
    <w:abstractNumId w:val="24"/>
  </w:num>
  <w:num w:numId="36">
    <w:abstractNumId w:val="7"/>
  </w:num>
  <w:num w:numId="37">
    <w:abstractNumId w:val="25"/>
  </w:num>
  <w:num w:numId="38">
    <w:abstractNumId w:val="6"/>
  </w:num>
  <w:num w:numId="39">
    <w:abstractNumId w:val="26"/>
  </w:num>
  <w:num w:numId="40">
    <w:abstractNumId w:val="43"/>
  </w:num>
  <w:num w:numId="41">
    <w:abstractNumId w:val="35"/>
  </w:num>
  <w:num w:numId="42">
    <w:abstractNumId w:val="10"/>
  </w:num>
  <w:num w:numId="43">
    <w:abstractNumId w:val="42"/>
  </w:num>
  <w:num w:numId="44">
    <w:abstractNumId w:val="22"/>
  </w:num>
  <w:num w:numId="45">
    <w:abstractNumId w:val="3"/>
  </w:num>
  <w:num w:numId="46">
    <w:abstractNumId w:val="36"/>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FE3"/>
    <w:rsid w:val="0001421A"/>
    <w:rsid w:val="0003149F"/>
    <w:rsid w:val="0003521D"/>
    <w:rsid w:val="0004117F"/>
    <w:rsid w:val="00045B29"/>
    <w:rsid w:val="00046A84"/>
    <w:rsid w:val="000610D9"/>
    <w:rsid w:val="0007108D"/>
    <w:rsid w:val="000813DF"/>
    <w:rsid w:val="00081824"/>
    <w:rsid w:val="000846DB"/>
    <w:rsid w:val="00090832"/>
    <w:rsid w:val="000918EE"/>
    <w:rsid w:val="00095080"/>
    <w:rsid w:val="000A4022"/>
    <w:rsid w:val="000A563A"/>
    <w:rsid w:val="000A7497"/>
    <w:rsid w:val="000A7C39"/>
    <w:rsid w:val="000B29EF"/>
    <w:rsid w:val="000B7EAA"/>
    <w:rsid w:val="000C1714"/>
    <w:rsid w:val="000C37CC"/>
    <w:rsid w:val="000E0F16"/>
    <w:rsid w:val="000E1F4C"/>
    <w:rsid w:val="000F6847"/>
    <w:rsid w:val="001066B0"/>
    <w:rsid w:val="00125B76"/>
    <w:rsid w:val="00150661"/>
    <w:rsid w:val="00153609"/>
    <w:rsid w:val="001537A5"/>
    <w:rsid w:val="0016513B"/>
    <w:rsid w:val="00165496"/>
    <w:rsid w:val="001818AC"/>
    <w:rsid w:val="00182956"/>
    <w:rsid w:val="00195022"/>
    <w:rsid w:val="001A0C47"/>
    <w:rsid w:val="001A48CE"/>
    <w:rsid w:val="001A54CF"/>
    <w:rsid w:val="001C1A3A"/>
    <w:rsid w:val="001D0BFB"/>
    <w:rsid w:val="001D6239"/>
    <w:rsid w:val="001E12D9"/>
    <w:rsid w:val="0020176F"/>
    <w:rsid w:val="002052F6"/>
    <w:rsid w:val="00220F9E"/>
    <w:rsid w:val="0023301D"/>
    <w:rsid w:val="0023378D"/>
    <w:rsid w:val="002439F7"/>
    <w:rsid w:val="00244834"/>
    <w:rsid w:val="00250E38"/>
    <w:rsid w:val="002612CD"/>
    <w:rsid w:val="00263090"/>
    <w:rsid w:val="00266F53"/>
    <w:rsid w:val="002844CA"/>
    <w:rsid w:val="0028691C"/>
    <w:rsid w:val="002B0BD7"/>
    <w:rsid w:val="002F21BC"/>
    <w:rsid w:val="00306FE3"/>
    <w:rsid w:val="00313DD2"/>
    <w:rsid w:val="003205C4"/>
    <w:rsid w:val="00323E7E"/>
    <w:rsid w:val="00342552"/>
    <w:rsid w:val="00343FA2"/>
    <w:rsid w:val="00355C89"/>
    <w:rsid w:val="00357140"/>
    <w:rsid w:val="003752BE"/>
    <w:rsid w:val="003840CC"/>
    <w:rsid w:val="00395CA5"/>
    <w:rsid w:val="003A3FC8"/>
    <w:rsid w:val="003A3FC9"/>
    <w:rsid w:val="003C0F5D"/>
    <w:rsid w:val="003E2385"/>
    <w:rsid w:val="003E783B"/>
    <w:rsid w:val="00420D79"/>
    <w:rsid w:val="004224E4"/>
    <w:rsid w:val="00423C0B"/>
    <w:rsid w:val="00435146"/>
    <w:rsid w:val="00437996"/>
    <w:rsid w:val="00441227"/>
    <w:rsid w:val="004618DF"/>
    <w:rsid w:val="00473AFF"/>
    <w:rsid w:val="004A523B"/>
    <w:rsid w:val="004A5C98"/>
    <w:rsid w:val="004A6D31"/>
    <w:rsid w:val="004A7661"/>
    <w:rsid w:val="004C0FBB"/>
    <w:rsid w:val="004C222B"/>
    <w:rsid w:val="004C4D44"/>
    <w:rsid w:val="004D34F7"/>
    <w:rsid w:val="004D382C"/>
    <w:rsid w:val="004E46DC"/>
    <w:rsid w:val="004E5A11"/>
    <w:rsid w:val="004E6CCD"/>
    <w:rsid w:val="004F5FBF"/>
    <w:rsid w:val="0050463C"/>
    <w:rsid w:val="00505165"/>
    <w:rsid w:val="0051531B"/>
    <w:rsid w:val="005167A4"/>
    <w:rsid w:val="00517864"/>
    <w:rsid w:val="00527665"/>
    <w:rsid w:val="005465BE"/>
    <w:rsid w:val="00550D14"/>
    <w:rsid w:val="0056295E"/>
    <w:rsid w:val="00565E26"/>
    <w:rsid w:val="00572D84"/>
    <w:rsid w:val="005753F5"/>
    <w:rsid w:val="00582443"/>
    <w:rsid w:val="005909C0"/>
    <w:rsid w:val="005B5D1C"/>
    <w:rsid w:val="005D3400"/>
    <w:rsid w:val="005D3AA7"/>
    <w:rsid w:val="005E0F76"/>
    <w:rsid w:val="005F17A1"/>
    <w:rsid w:val="005F6220"/>
    <w:rsid w:val="005F6EB8"/>
    <w:rsid w:val="00601A7D"/>
    <w:rsid w:val="006154D3"/>
    <w:rsid w:val="00637B8F"/>
    <w:rsid w:val="006439F2"/>
    <w:rsid w:val="00653A39"/>
    <w:rsid w:val="0066236B"/>
    <w:rsid w:val="00690754"/>
    <w:rsid w:val="006A2C86"/>
    <w:rsid w:val="006A3971"/>
    <w:rsid w:val="006C375F"/>
    <w:rsid w:val="006C443C"/>
    <w:rsid w:val="006D7B74"/>
    <w:rsid w:val="006E07B1"/>
    <w:rsid w:val="006E743B"/>
    <w:rsid w:val="006F4CD9"/>
    <w:rsid w:val="006F7312"/>
    <w:rsid w:val="007129B1"/>
    <w:rsid w:val="0073578F"/>
    <w:rsid w:val="0075163C"/>
    <w:rsid w:val="00753F9C"/>
    <w:rsid w:val="007601C1"/>
    <w:rsid w:val="007606D2"/>
    <w:rsid w:val="0076313F"/>
    <w:rsid w:val="00766625"/>
    <w:rsid w:val="007666F1"/>
    <w:rsid w:val="007719FF"/>
    <w:rsid w:val="007747BE"/>
    <w:rsid w:val="007749F9"/>
    <w:rsid w:val="007758A2"/>
    <w:rsid w:val="00782D6B"/>
    <w:rsid w:val="00785521"/>
    <w:rsid w:val="00797628"/>
    <w:rsid w:val="00797ADC"/>
    <w:rsid w:val="007A5E20"/>
    <w:rsid w:val="007B2E83"/>
    <w:rsid w:val="007B5249"/>
    <w:rsid w:val="007C37E4"/>
    <w:rsid w:val="007E2A5F"/>
    <w:rsid w:val="00806515"/>
    <w:rsid w:val="00841D27"/>
    <w:rsid w:val="00842867"/>
    <w:rsid w:val="00853200"/>
    <w:rsid w:val="0087515B"/>
    <w:rsid w:val="00887F85"/>
    <w:rsid w:val="00893CE1"/>
    <w:rsid w:val="008A3AA8"/>
    <w:rsid w:val="008A647B"/>
    <w:rsid w:val="008C72B9"/>
    <w:rsid w:val="008C797D"/>
    <w:rsid w:val="008D1FF9"/>
    <w:rsid w:val="008E7FEE"/>
    <w:rsid w:val="009021CA"/>
    <w:rsid w:val="009048B5"/>
    <w:rsid w:val="009060D8"/>
    <w:rsid w:val="00911826"/>
    <w:rsid w:val="00920329"/>
    <w:rsid w:val="00932534"/>
    <w:rsid w:val="009339F0"/>
    <w:rsid w:val="00934017"/>
    <w:rsid w:val="00954260"/>
    <w:rsid w:val="009620BA"/>
    <w:rsid w:val="0097440A"/>
    <w:rsid w:val="00991FEE"/>
    <w:rsid w:val="009A7999"/>
    <w:rsid w:val="009B3180"/>
    <w:rsid w:val="009C09B3"/>
    <w:rsid w:val="009F44BB"/>
    <w:rsid w:val="009F533A"/>
    <w:rsid w:val="00A12221"/>
    <w:rsid w:val="00A16A71"/>
    <w:rsid w:val="00A2204F"/>
    <w:rsid w:val="00A224F6"/>
    <w:rsid w:val="00A31641"/>
    <w:rsid w:val="00A36567"/>
    <w:rsid w:val="00A3747C"/>
    <w:rsid w:val="00A44F37"/>
    <w:rsid w:val="00A55B7F"/>
    <w:rsid w:val="00A95086"/>
    <w:rsid w:val="00AA4210"/>
    <w:rsid w:val="00AB2F6E"/>
    <w:rsid w:val="00AD08A3"/>
    <w:rsid w:val="00AD29B3"/>
    <w:rsid w:val="00AD3B73"/>
    <w:rsid w:val="00AD3C5A"/>
    <w:rsid w:val="00AD6337"/>
    <w:rsid w:val="00AF0297"/>
    <w:rsid w:val="00AF0AC0"/>
    <w:rsid w:val="00AF6EF0"/>
    <w:rsid w:val="00B04B75"/>
    <w:rsid w:val="00B131D9"/>
    <w:rsid w:val="00B142DD"/>
    <w:rsid w:val="00B24537"/>
    <w:rsid w:val="00B367E1"/>
    <w:rsid w:val="00B47DE6"/>
    <w:rsid w:val="00B51552"/>
    <w:rsid w:val="00B566CA"/>
    <w:rsid w:val="00B56ADE"/>
    <w:rsid w:val="00B7011D"/>
    <w:rsid w:val="00B9519C"/>
    <w:rsid w:val="00B96D19"/>
    <w:rsid w:val="00BA065D"/>
    <w:rsid w:val="00BA7C13"/>
    <w:rsid w:val="00BD15AC"/>
    <w:rsid w:val="00BD2BDF"/>
    <w:rsid w:val="00BD7375"/>
    <w:rsid w:val="00BE2452"/>
    <w:rsid w:val="00BE63F0"/>
    <w:rsid w:val="00BF5F89"/>
    <w:rsid w:val="00BF6BA2"/>
    <w:rsid w:val="00C03E70"/>
    <w:rsid w:val="00C10A31"/>
    <w:rsid w:val="00C31671"/>
    <w:rsid w:val="00C34A2A"/>
    <w:rsid w:val="00C74ADA"/>
    <w:rsid w:val="00C840F6"/>
    <w:rsid w:val="00C90C50"/>
    <w:rsid w:val="00C90F13"/>
    <w:rsid w:val="00CA46BF"/>
    <w:rsid w:val="00CA5A21"/>
    <w:rsid w:val="00CB05FB"/>
    <w:rsid w:val="00CB7685"/>
    <w:rsid w:val="00CC0297"/>
    <w:rsid w:val="00CC3E66"/>
    <w:rsid w:val="00CD0AFF"/>
    <w:rsid w:val="00CF0B99"/>
    <w:rsid w:val="00D00618"/>
    <w:rsid w:val="00D24868"/>
    <w:rsid w:val="00D31BF8"/>
    <w:rsid w:val="00D33530"/>
    <w:rsid w:val="00D5387C"/>
    <w:rsid w:val="00D61E33"/>
    <w:rsid w:val="00D64851"/>
    <w:rsid w:val="00D7179D"/>
    <w:rsid w:val="00D7773C"/>
    <w:rsid w:val="00DA0573"/>
    <w:rsid w:val="00DA2EBC"/>
    <w:rsid w:val="00DA712D"/>
    <w:rsid w:val="00DC1F8F"/>
    <w:rsid w:val="00DC629A"/>
    <w:rsid w:val="00E07B7D"/>
    <w:rsid w:val="00E215BF"/>
    <w:rsid w:val="00E24D64"/>
    <w:rsid w:val="00E37FDC"/>
    <w:rsid w:val="00E43B35"/>
    <w:rsid w:val="00E55CE9"/>
    <w:rsid w:val="00E72CE4"/>
    <w:rsid w:val="00E758DC"/>
    <w:rsid w:val="00E759C5"/>
    <w:rsid w:val="00E76932"/>
    <w:rsid w:val="00E7769A"/>
    <w:rsid w:val="00E77971"/>
    <w:rsid w:val="00E9003B"/>
    <w:rsid w:val="00EA5B77"/>
    <w:rsid w:val="00EA6DAB"/>
    <w:rsid w:val="00EB4FD5"/>
    <w:rsid w:val="00EC203D"/>
    <w:rsid w:val="00EE267E"/>
    <w:rsid w:val="00EF00AE"/>
    <w:rsid w:val="00EF50EA"/>
    <w:rsid w:val="00EF718B"/>
    <w:rsid w:val="00F0145E"/>
    <w:rsid w:val="00F21194"/>
    <w:rsid w:val="00F23B85"/>
    <w:rsid w:val="00F44483"/>
    <w:rsid w:val="00F45F23"/>
    <w:rsid w:val="00F80E04"/>
    <w:rsid w:val="00F821E2"/>
    <w:rsid w:val="00F931E7"/>
    <w:rsid w:val="00F9609B"/>
    <w:rsid w:val="00FA4210"/>
    <w:rsid w:val="00FA6428"/>
    <w:rsid w:val="00FB26DE"/>
    <w:rsid w:val="00FB582E"/>
    <w:rsid w:val="00FC778B"/>
    <w:rsid w:val="00FD42B2"/>
    <w:rsid w:val="00FD5AE4"/>
    <w:rsid w:val="00FD7B40"/>
    <w:rsid w:val="00FE5D88"/>
    <w:rsid w:val="00FF0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537B"/>
  <w15:chartTrackingRefBased/>
  <w15:docId w15:val="{3EF0A5E8-911C-48A9-AE1A-A8A35748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D3400"/>
    <w:pPr>
      <w:spacing w:after="0" w:line="240" w:lineRule="auto"/>
    </w:pPr>
  </w:style>
  <w:style w:type="paragraph" w:styleId="BalloonText">
    <w:name w:val="Balloon Text"/>
    <w:basedOn w:val="Normal"/>
    <w:link w:val="BalloonTextChar"/>
    <w:uiPriority w:val="99"/>
    <w:semiHidden/>
    <w:unhideWhenUsed/>
    <w:rsid w:val="005D34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400"/>
    <w:rPr>
      <w:rFonts w:ascii="Segoe UI" w:hAnsi="Segoe UI" w:cs="Segoe UI"/>
      <w:sz w:val="18"/>
      <w:szCs w:val="18"/>
    </w:rPr>
  </w:style>
  <w:style w:type="character" w:styleId="CommentReference">
    <w:name w:val="annotation reference"/>
    <w:basedOn w:val="DefaultParagraphFont"/>
    <w:uiPriority w:val="99"/>
    <w:semiHidden/>
    <w:unhideWhenUsed/>
    <w:rsid w:val="00B24537"/>
    <w:rPr>
      <w:sz w:val="16"/>
      <w:szCs w:val="16"/>
    </w:rPr>
  </w:style>
  <w:style w:type="paragraph" w:styleId="CommentText">
    <w:name w:val="annotation text"/>
    <w:basedOn w:val="Normal"/>
    <w:link w:val="CommentTextChar"/>
    <w:uiPriority w:val="99"/>
    <w:unhideWhenUsed/>
    <w:rsid w:val="00B24537"/>
    <w:pPr>
      <w:spacing w:line="240" w:lineRule="auto"/>
    </w:pPr>
    <w:rPr>
      <w:sz w:val="20"/>
      <w:szCs w:val="20"/>
    </w:rPr>
  </w:style>
  <w:style w:type="character" w:customStyle="1" w:styleId="CommentTextChar">
    <w:name w:val="Comment Text Char"/>
    <w:basedOn w:val="DefaultParagraphFont"/>
    <w:link w:val="CommentText"/>
    <w:uiPriority w:val="99"/>
    <w:rsid w:val="00B24537"/>
    <w:rPr>
      <w:sz w:val="20"/>
      <w:szCs w:val="20"/>
    </w:rPr>
  </w:style>
  <w:style w:type="paragraph" w:styleId="CommentSubject">
    <w:name w:val="annotation subject"/>
    <w:basedOn w:val="CommentText"/>
    <w:next w:val="CommentText"/>
    <w:link w:val="CommentSubjectChar"/>
    <w:uiPriority w:val="99"/>
    <w:semiHidden/>
    <w:unhideWhenUsed/>
    <w:rsid w:val="00B24537"/>
    <w:rPr>
      <w:b/>
      <w:bCs/>
    </w:rPr>
  </w:style>
  <w:style w:type="character" w:customStyle="1" w:styleId="CommentSubjectChar">
    <w:name w:val="Comment Subject Char"/>
    <w:basedOn w:val="CommentTextChar"/>
    <w:link w:val="CommentSubject"/>
    <w:uiPriority w:val="99"/>
    <w:semiHidden/>
    <w:rsid w:val="00B24537"/>
    <w:rPr>
      <w:b/>
      <w:bCs/>
      <w:sz w:val="20"/>
      <w:szCs w:val="20"/>
    </w:rPr>
  </w:style>
  <w:style w:type="paragraph" w:styleId="ListParagraph">
    <w:name w:val="List Paragraph"/>
    <w:basedOn w:val="Normal"/>
    <w:uiPriority w:val="34"/>
    <w:qFormat/>
    <w:rsid w:val="00785521"/>
    <w:pPr>
      <w:ind w:left="720"/>
      <w:contextualSpacing/>
    </w:pPr>
  </w:style>
  <w:style w:type="paragraph" w:customStyle="1" w:styleId="Default">
    <w:name w:val="Default"/>
    <w:rsid w:val="007606D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C797D"/>
    <w:pPr>
      <w:spacing w:after="0" w:line="240" w:lineRule="auto"/>
    </w:pPr>
  </w:style>
  <w:style w:type="paragraph" w:styleId="Header">
    <w:name w:val="header"/>
    <w:basedOn w:val="Normal"/>
    <w:link w:val="HeaderChar"/>
    <w:uiPriority w:val="99"/>
    <w:unhideWhenUsed/>
    <w:rsid w:val="00CB7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685"/>
  </w:style>
  <w:style w:type="paragraph" w:styleId="Footer">
    <w:name w:val="footer"/>
    <w:basedOn w:val="Normal"/>
    <w:link w:val="FooterChar"/>
    <w:uiPriority w:val="99"/>
    <w:unhideWhenUsed/>
    <w:rsid w:val="00CB7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5493">
      <w:bodyDiv w:val="1"/>
      <w:marLeft w:val="0"/>
      <w:marRight w:val="0"/>
      <w:marTop w:val="0"/>
      <w:marBottom w:val="0"/>
      <w:divBdr>
        <w:top w:val="none" w:sz="0" w:space="0" w:color="auto"/>
        <w:left w:val="none" w:sz="0" w:space="0" w:color="auto"/>
        <w:bottom w:val="none" w:sz="0" w:space="0" w:color="auto"/>
        <w:right w:val="none" w:sz="0" w:space="0" w:color="auto"/>
      </w:divBdr>
      <w:divsChild>
        <w:div w:id="62221611">
          <w:marLeft w:val="547"/>
          <w:marRight w:val="0"/>
          <w:marTop w:val="0"/>
          <w:marBottom w:val="0"/>
          <w:divBdr>
            <w:top w:val="none" w:sz="0" w:space="0" w:color="auto"/>
            <w:left w:val="none" w:sz="0" w:space="0" w:color="auto"/>
            <w:bottom w:val="none" w:sz="0" w:space="0" w:color="auto"/>
            <w:right w:val="none" w:sz="0" w:space="0" w:color="auto"/>
          </w:divBdr>
        </w:div>
        <w:div w:id="164365003">
          <w:marLeft w:val="547"/>
          <w:marRight w:val="0"/>
          <w:marTop w:val="0"/>
          <w:marBottom w:val="0"/>
          <w:divBdr>
            <w:top w:val="none" w:sz="0" w:space="0" w:color="auto"/>
            <w:left w:val="none" w:sz="0" w:space="0" w:color="auto"/>
            <w:bottom w:val="none" w:sz="0" w:space="0" w:color="auto"/>
            <w:right w:val="none" w:sz="0" w:space="0" w:color="auto"/>
          </w:divBdr>
        </w:div>
        <w:div w:id="361321369">
          <w:marLeft w:val="547"/>
          <w:marRight w:val="0"/>
          <w:marTop w:val="0"/>
          <w:marBottom w:val="0"/>
          <w:divBdr>
            <w:top w:val="none" w:sz="0" w:space="0" w:color="auto"/>
            <w:left w:val="none" w:sz="0" w:space="0" w:color="auto"/>
            <w:bottom w:val="none" w:sz="0" w:space="0" w:color="auto"/>
            <w:right w:val="none" w:sz="0" w:space="0" w:color="auto"/>
          </w:divBdr>
        </w:div>
        <w:div w:id="380860799">
          <w:marLeft w:val="547"/>
          <w:marRight w:val="0"/>
          <w:marTop w:val="160"/>
          <w:marBottom w:val="0"/>
          <w:divBdr>
            <w:top w:val="none" w:sz="0" w:space="0" w:color="auto"/>
            <w:left w:val="none" w:sz="0" w:space="0" w:color="auto"/>
            <w:bottom w:val="none" w:sz="0" w:space="0" w:color="auto"/>
            <w:right w:val="none" w:sz="0" w:space="0" w:color="auto"/>
          </w:divBdr>
        </w:div>
        <w:div w:id="391664402">
          <w:marLeft w:val="547"/>
          <w:marRight w:val="0"/>
          <w:marTop w:val="160"/>
          <w:marBottom w:val="0"/>
          <w:divBdr>
            <w:top w:val="none" w:sz="0" w:space="0" w:color="auto"/>
            <w:left w:val="none" w:sz="0" w:space="0" w:color="auto"/>
            <w:bottom w:val="none" w:sz="0" w:space="0" w:color="auto"/>
            <w:right w:val="none" w:sz="0" w:space="0" w:color="auto"/>
          </w:divBdr>
        </w:div>
        <w:div w:id="423457294">
          <w:marLeft w:val="547"/>
          <w:marRight w:val="0"/>
          <w:marTop w:val="0"/>
          <w:marBottom w:val="0"/>
          <w:divBdr>
            <w:top w:val="none" w:sz="0" w:space="0" w:color="auto"/>
            <w:left w:val="none" w:sz="0" w:space="0" w:color="auto"/>
            <w:bottom w:val="none" w:sz="0" w:space="0" w:color="auto"/>
            <w:right w:val="none" w:sz="0" w:space="0" w:color="auto"/>
          </w:divBdr>
        </w:div>
        <w:div w:id="678772530">
          <w:marLeft w:val="547"/>
          <w:marRight w:val="0"/>
          <w:marTop w:val="160"/>
          <w:marBottom w:val="0"/>
          <w:divBdr>
            <w:top w:val="none" w:sz="0" w:space="0" w:color="auto"/>
            <w:left w:val="none" w:sz="0" w:space="0" w:color="auto"/>
            <w:bottom w:val="none" w:sz="0" w:space="0" w:color="auto"/>
            <w:right w:val="none" w:sz="0" w:space="0" w:color="auto"/>
          </w:divBdr>
        </w:div>
        <w:div w:id="726534538">
          <w:marLeft w:val="547"/>
          <w:marRight w:val="0"/>
          <w:marTop w:val="0"/>
          <w:marBottom w:val="0"/>
          <w:divBdr>
            <w:top w:val="none" w:sz="0" w:space="0" w:color="auto"/>
            <w:left w:val="none" w:sz="0" w:space="0" w:color="auto"/>
            <w:bottom w:val="none" w:sz="0" w:space="0" w:color="auto"/>
            <w:right w:val="none" w:sz="0" w:space="0" w:color="auto"/>
          </w:divBdr>
        </w:div>
        <w:div w:id="785274919">
          <w:marLeft w:val="547"/>
          <w:marRight w:val="0"/>
          <w:marTop w:val="0"/>
          <w:marBottom w:val="0"/>
          <w:divBdr>
            <w:top w:val="none" w:sz="0" w:space="0" w:color="auto"/>
            <w:left w:val="none" w:sz="0" w:space="0" w:color="auto"/>
            <w:bottom w:val="none" w:sz="0" w:space="0" w:color="auto"/>
            <w:right w:val="none" w:sz="0" w:space="0" w:color="auto"/>
          </w:divBdr>
        </w:div>
        <w:div w:id="791175136">
          <w:marLeft w:val="547"/>
          <w:marRight w:val="0"/>
          <w:marTop w:val="0"/>
          <w:marBottom w:val="0"/>
          <w:divBdr>
            <w:top w:val="none" w:sz="0" w:space="0" w:color="auto"/>
            <w:left w:val="none" w:sz="0" w:space="0" w:color="auto"/>
            <w:bottom w:val="none" w:sz="0" w:space="0" w:color="auto"/>
            <w:right w:val="none" w:sz="0" w:space="0" w:color="auto"/>
          </w:divBdr>
        </w:div>
        <w:div w:id="964390627">
          <w:marLeft w:val="1166"/>
          <w:marRight w:val="0"/>
          <w:marTop w:val="0"/>
          <w:marBottom w:val="0"/>
          <w:divBdr>
            <w:top w:val="none" w:sz="0" w:space="0" w:color="auto"/>
            <w:left w:val="none" w:sz="0" w:space="0" w:color="auto"/>
            <w:bottom w:val="none" w:sz="0" w:space="0" w:color="auto"/>
            <w:right w:val="none" w:sz="0" w:space="0" w:color="auto"/>
          </w:divBdr>
        </w:div>
        <w:div w:id="1094666572">
          <w:marLeft w:val="1166"/>
          <w:marRight w:val="0"/>
          <w:marTop w:val="0"/>
          <w:marBottom w:val="0"/>
          <w:divBdr>
            <w:top w:val="none" w:sz="0" w:space="0" w:color="auto"/>
            <w:left w:val="none" w:sz="0" w:space="0" w:color="auto"/>
            <w:bottom w:val="none" w:sz="0" w:space="0" w:color="auto"/>
            <w:right w:val="none" w:sz="0" w:space="0" w:color="auto"/>
          </w:divBdr>
        </w:div>
        <w:div w:id="1252548934">
          <w:marLeft w:val="547"/>
          <w:marRight w:val="0"/>
          <w:marTop w:val="0"/>
          <w:marBottom w:val="0"/>
          <w:divBdr>
            <w:top w:val="none" w:sz="0" w:space="0" w:color="auto"/>
            <w:left w:val="none" w:sz="0" w:space="0" w:color="auto"/>
            <w:bottom w:val="none" w:sz="0" w:space="0" w:color="auto"/>
            <w:right w:val="none" w:sz="0" w:space="0" w:color="auto"/>
          </w:divBdr>
        </w:div>
        <w:div w:id="1382556391">
          <w:marLeft w:val="547"/>
          <w:marRight w:val="0"/>
          <w:marTop w:val="160"/>
          <w:marBottom w:val="0"/>
          <w:divBdr>
            <w:top w:val="none" w:sz="0" w:space="0" w:color="auto"/>
            <w:left w:val="none" w:sz="0" w:space="0" w:color="auto"/>
            <w:bottom w:val="none" w:sz="0" w:space="0" w:color="auto"/>
            <w:right w:val="none" w:sz="0" w:space="0" w:color="auto"/>
          </w:divBdr>
        </w:div>
        <w:div w:id="1597598041">
          <w:marLeft w:val="547"/>
          <w:marRight w:val="0"/>
          <w:marTop w:val="0"/>
          <w:marBottom w:val="0"/>
          <w:divBdr>
            <w:top w:val="none" w:sz="0" w:space="0" w:color="auto"/>
            <w:left w:val="none" w:sz="0" w:space="0" w:color="auto"/>
            <w:bottom w:val="none" w:sz="0" w:space="0" w:color="auto"/>
            <w:right w:val="none" w:sz="0" w:space="0" w:color="auto"/>
          </w:divBdr>
        </w:div>
        <w:div w:id="2100905008">
          <w:marLeft w:val="547"/>
          <w:marRight w:val="0"/>
          <w:marTop w:val="0"/>
          <w:marBottom w:val="0"/>
          <w:divBdr>
            <w:top w:val="none" w:sz="0" w:space="0" w:color="auto"/>
            <w:left w:val="none" w:sz="0" w:space="0" w:color="auto"/>
            <w:bottom w:val="none" w:sz="0" w:space="0" w:color="auto"/>
            <w:right w:val="none" w:sz="0" w:space="0" w:color="auto"/>
          </w:divBdr>
        </w:div>
      </w:divsChild>
    </w:div>
    <w:div w:id="451217671">
      <w:bodyDiv w:val="1"/>
      <w:marLeft w:val="0"/>
      <w:marRight w:val="0"/>
      <w:marTop w:val="0"/>
      <w:marBottom w:val="0"/>
      <w:divBdr>
        <w:top w:val="none" w:sz="0" w:space="0" w:color="auto"/>
        <w:left w:val="none" w:sz="0" w:space="0" w:color="auto"/>
        <w:bottom w:val="none" w:sz="0" w:space="0" w:color="auto"/>
        <w:right w:val="none" w:sz="0" w:space="0" w:color="auto"/>
      </w:divBdr>
      <w:divsChild>
        <w:div w:id="934021271">
          <w:marLeft w:val="547"/>
          <w:marRight w:val="0"/>
          <w:marTop w:val="160"/>
          <w:marBottom w:val="0"/>
          <w:divBdr>
            <w:top w:val="none" w:sz="0" w:space="0" w:color="auto"/>
            <w:left w:val="none" w:sz="0" w:space="0" w:color="auto"/>
            <w:bottom w:val="none" w:sz="0" w:space="0" w:color="auto"/>
            <w:right w:val="none" w:sz="0" w:space="0" w:color="auto"/>
          </w:divBdr>
        </w:div>
        <w:div w:id="699670152">
          <w:marLeft w:val="547"/>
          <w:marRight w:val="0"/>
          <w:marTop w:val="0"/>
          <w:marBottom w:val="0"/>
          <w:divBdr>
            <w:top w:val="none" w:sz="0" w:space="0" w:color="auto"/>
            <w:left w:val="none" w:sz="0" w:space="0" w:color="auto"/>
            <w:bottom w:val="none" w:sz="0" w:space="0" w:color="auto"/>
            <w:right w:val="none" w:sz="0" w:space="0" w:color="auto"/>
          </w:divBdr>
        </w:div>
        <w:div w:id="976565638">
          <w:marLeft w:val="547"/>
          <w:marRight w:val="0"/>
          <w:marTop w:val="0"/>
          <w:marBottom w:val="0"/>
          <w:divBdr>
            <w:top w:val="none" w:sz="0" w:space="0" w:color="auto"/>
            <w:left w:val="none" w:sz="0" w:space="0" w:color="auto"/>
            <w:bottom w:val="none" w:sz="0" w:space="0" w:color="auto"/>
            <w:right w:val="none" w:sz="0" w:space="0" w:color="auto"/>
          </w:divBdr>
        </w:div>
        <w:div w:id="712777134">
          <w:marLeft w:val="547"/>
          <w:marRight w:val="0"/>
          <w:marTop w:val="0"/>
          <w:marBottom w:val="0"/>
          <w:divBdr>
            <w:top w:val="none" w:sz="0" w:space="0" w:color="auto"/>
            <w:left w:val="none" w:sz="0" w:space="0" w:color="auto"/>
            <w:bottom w:val="none" w:sz="0" w:space="0" w:color="auto"/>
            <w:right w:val="none" w:sz="0" w:space="0" w:color="auto"/>
          </w:divBdr>
        </w:div>
        <w:div w:id="1272392005">
          <w:marLeft w:val="547"/>
          <w:marRight w:val="0"/>
          <w:marTop w:val="0"/>
          <w:marBottom w:val="0"/>
          <w:divBdr>
            <w:top w:val="none" w:sz="0" w:space="0" w:color="auto"/>
            <w:left w:val="none" w:sz="0" w:space="0" w:color="auto"/>
            <w:bottom w:val="none" w:sz="0" w:space="0" w:color="auto"/>
            <w:right w:val="none" w:sz="0" w:space="0" w:color="auto"/>
          </w:divBdr>
        </w:div>
        <w:div w:id="336882894">
          <w:marLeft w:val="547"/>
          <w:marRight w:val="0"/>
          <w:marTop w:val="0"/>
          <w:marBottom w:val="0"/>
          <w:divBdr>
            <w:top w:val="none" w:sz="0" w:space="0" w:color="auto"/>
            <w:left w:val="none" w:sz="0" w:space="0" w:color="auto"/>
            <w:bottom w:val="none" w:sz="0" w:space="0" w:color="auto"/>
            <w:right w:val="none" w:sz="0" w:space="0" w:color="auto"/>
          </w:divBdr>
        </w:div>
        <w:div w:id="1030183863">
          <w:marLeft w:val="547"/>
          <w:marRight w:val="0"/>
          <w:marTop w:val="0"/>
          <w:marBottom w:val="0"/>
          <w:divBdr>
            <w:top w:val="none" w:sz="0" w:space="0" w:color="auto"/>
            <w:left w:val="none" w:sz="0" w:space="0" w:color="auto"/>
            <w:bottom w:val="none" w:sz="0" w:space="0" w:color="auto"/>
            <w:right w:val="none" w:sz="0" w:space="0" w:color="auto"/>
          </w:divBdr>
        </w:div>
        <w:div w:id="1492872231">
          <w:marLeft w:val="1166"/>
          <w:marRight w:val="0"/>
          <w:marTop w:val="0"/>
          <w:marBottom w:val="0"/>
          <w:divBdr>
            <w:top w:val="none" w:sz="0" w:space="0" w:color="auto"/>
            <w:left w:val="none" w:sz="0" w:space="0" w:color="auto"/>
            <w:bottom w:val="none" w:sz="0" w:space="0" w:color="auto"/>
            <w:right w:val="none" w:sz="0" w:space="0" w:color="auto"/>
          </w:divBdr>
        </w:div>
        <w:div w:id="1884244347">
          <w:marLeft w:val="1166"/>
          <w:marRight w:val="0"/>
          <w:marTop w:val="0"/>
          <w:marBottom w:val="0"/>
          <w:divBdr>
            <w:top w:val="none" w:sz="0" w:space="0" w:color="auto"/>
            <w:left w:val="none" w:sz="0" w:space="0" w:color="auto"/>
            <w:bottom w:val="none" w:sz="0" w:space="0" w:color="auto"/>
            <w:right w:val="none" w:sz="0" w:space="0" w:color="auto"/>
          </w:divBdr>
        </w:div>
        <w:div w:id="1809081086">
          <w:marLeft w:val="547"/>
          <w:marRight w:val="0"/>
          <w:marTop w:val="0"/>
          <w:marBottom w:val="0"/>
          <w:divBdr>
            <w:top w:val="none" w:sz="0" w:space="0" w:color="auto"/>
            <w:left w:val="none" w:sz="0" w:space="0" w:color="auto"/>
            <w:bottom w:val="none" w:sz="0" w:space="0" w:color="auto"/>
            <w:right w:val="none" w:sz="0" w:space="0" w:color="auto"/>
          </w:divBdr>
        </w:div>
        <w:div w:id="2131241630">
          <w:marLeft w:val="547"/>
          <w:marRight w:val="0"/>
          <w:marTop w:val="0"/>
          <w:marBottom w:val="0"/>
          <w:divBdr>
            <w:top w:val="none" w:sz="0" w:space="0" w:color="auto"/>
            <w:left w:val="none" w:sz="0" w:space="0" w:color="auto"/>
            <w:bottom w:val="none" w:sz="0" w:space="0" w:color="auto"/>
            <w:right w:val="none" w:sz="0" w:space="0" w:color="auto"/>
          </w:divBdr>
        </w:div>
        <w:div w:id="2027949112">
          <w:marLeft w:val="547"/>
          <w:marRight w:val="0"/>
          <w:marTop w:val="0"/>
          <w:marBottom w:val="0"/>
          <w:divBdr>
            <w:top w:val="none" w:sz="0" w:space="0" w:color="auto"/>
            <w:left w:val="none" w:sz="0" w:space="0" w:color="auto"/>
            <w:bottom w:val="none" w:sz="0" w:space="0" w:color="auto"/>
            <w:right w:val="none" w:sz="0" w:space="0" w:color="auto"/>
          </w:divBdr>
        </w:div>
        <w:div w:id="1093935262">
          <w:marLeft w:val="547"/>
          <w:marRight w:val="0"/>
          <w:marTop w:val="0"/>
          <w:marBottom w:val="0"/>
          <w:divBdr>
            <w:top w:val="none" w:sz="0" w:space="0" w:color="auto"/>
            <w:left w:val="none" w:sz="0" w:space="0" w:color="auto"/>
            <w:bottom w:val="none" w:sz="0" w:space="0" w:color="auto"/>
            <w:right w:val="none" w:sz="0" w:space="0" w:color="auto"/>
          </w:divBdr>
        </w:div>
        <w:div w:id="1441218311">
          <w:marLeft w:val="547"/>
          <w:marRight w:val="0"/>
          <w:marTop w:val="0"/>
          <w:marBottom w:val="0"/>
          <w:divBdr>
            <w:top w:val="none" w:sz="0" w:space="0" w:color="auto"/>
            <w:left w:val="none" w:sz="0" w:space="0" w:color="auto"/>
            <w:bottom w:val="none" w:sz="0" w:space="0" w:color="auto"/>
            <w:right w:val="none" w:sz="0" w:space="0" w:color="auto"/>
          </w:divBdr>
        </w:div>
        <w:div w:id="1123620308">
          <w:marLeft w:val="547"/>
          <w:marRight w:val="0"/>
          <w:marTop w:val="0"/>
          <w:marBottom w:val="0"/>
          <w:divBdr>
            <w:top w:val="none" w:sz="0" w:space="0" w:color="auto"/>
            <w:left w:val="none" w:sz="0" w:space="0" w:color="auto"/>
            <w:bottom w:val="none" w:sz="0" w:space="0" w:color="auto"/>
            <w:right w:val="none" w:sz="0" w:space="0" w:color="auto"/>
          </w:divBdr>
        </w:div>
        <w:div w:id="1285817579">
          <w:marLeft w:val="547"/>
          <w:marRight w:val="0"/>
          <w:marTop w:val="0"/>
          <w:marBottom w:val="0"/>
          <w:divBdr>
            <w:top w:val="none" w:sz="0" w:space="0" w:color="auto"/>
            <w:left w:val="none" w:sz="0" w:space="0" w:color="auto"/>
            <w:bottom w:val="none" w:sz="0" w:space="0" w:color="auto"/>
            <w:right w:val="none" w:sz="0" w:space="0" w:color="auto"/>
          </w:divBdr>
        </w:div>
        <w:div w:id="1899196520">
          <w:marLeft w:val="547"/>
          <w:marRight w:val="0"/>
          <w:marTop w:val="0"/>
          <w:marBottom w:val="0"/>
          <w:divBdr>
            <w:top w:val="none" w:sz="0" w:space="0" w:color="auto"/>
            <w:left w:val="none" w:sz="0" w:space="0" w:color="auto"/>
            <w:bottom w:val="none" w:sz="0" w:space="0" w:color="auto"/>
            <w:right w:val="none" w:sz="0" w:space="0" w:color="auto"/>
          </w:divBdr>
        </w:div>
        <w:div w:id="1521429825">
          <w:marLeft w:val="547"/>
          <w:marRight w:val="0"/>
          <w:marTop w:val="160"/>
          <w:marBottom w:val="0"/>
          <w:divBdr>
            <w:top w:val="none" w:sz="0" w:space="0" w:color="auto"/>
            <w:left w:val="none" w:sz="0" w:space="0" w:color="auto"/>
            <w:bottom w:val="none" w:sz="0" w:space="0" w:color="auto"/>
            <w:right w:val="none" w:sz="0" w:space="0" w:color="auto"/>
          </w:divBdr>
        </w:div>
        <w:div w:id="2113551558">
          <w:marLeft w:val="547"/>
          <w:marRight w:val="0"/>
          <w:marTop w:val="0"/>
          <w:marBottom w:val="0"/>
          <w:divBdr>
            <w:top w:val="none" w:sz="0" w:space="0" w:color="auto"/>
            <w:left w:val="none" w:sz="0" w:space="0" w:color="auto"/>
            <w:bottom w:val="none" w:sz="0" w:space="0" w:color="auto"/>
            <w:right w:val="none" w:sz="0" w:space="0" w:color="auto"/>
          </w:divBdr>
        </w:div>
      </w:divsChild>
    </w:div>
    <w:div w:id="677972723">
      <w:bodyDiv w:val="1"/>
      <w:marLeft w:val="0"/>
      <w:marRight w:val="0"/>
      <w:marTop w:val="0"/>
      <w:marBottom w:val="0"/>
      <w:divBdr>
        <w:top w:val="none" w:sz="0" w:space="0" w:color="auto"/>
        <w:left w:val="none" w:sz="0" w:space="0" w:color="auto"/>
        <w:bottom w:val="none" w:sz="0" w:space="0" w:color="auto"/>
        <w:right w:val="none" w:sz="0" w:space="0" w:color="auto"/>
      </w:divBdr>
      <w:divsChild>
        <w:div w:id="155655696">
          <w:marLeft w:val="0"/>
          <w:marRight w:val="0"/>
          <w:marTop w:val="0"/>
          <w:marBottom w:val="0"/>
          <w:divBdr>
            <w:top w:val="none" w:sz="0" w:space="0" w:color="auto"/>
            <w:left w:val="none" w:sz="0" w:space="0" w:color="auto"/>
            <w:bottom w:val="none" w:sz="0" w:space="0" w:color="auto"/>
            <w:right w:val="none" w:sz="0" w:space="0" w:color="auto"/>
          </w:divBdr>
        </w:div>
        <w:div w:id="1335062165">
          <w:marLeft w:val="0"/>
          <w:marRight w:val="0"/>
          <w:marTop w:val="0"/>
          <w:marBottom w:val="0"/>
          <w:divBdr>
            <w:top w:val="none" w:sz="0" w:space="0" w:color="auto"/>
            <w:left w:val="none" w:sz="0" w:space="0" w:color="auto"/>
            <w:bottom w:val="none" w:sz="0" w:space="0" w:color="auto"/>
            <w:right w:val="none" w:sz="0" w:space="0" w:color="auto"/>
          </w:divBdr>
        </w:div>
        <w:div w:id="1611471240">
          <w:marLeft w:val="0"/>
          <w:marRight w:val="0"/>
          <w:marTop w:val="0"/>
          <w:marBottom w:val="0"/>
          <w:divBdr>
            <w:top w:val="none" w:sz="0" w:space="0" w:color="auto"/>
            <w:left w:val="none" w:sz="0" w:space="0" w:color="auto"/>
            <w:bottom w:val="none" w:sz="0" w:space="0" w:color="auto"/>
            <w:right w:val="none" w:sz="0" w:space="0" w:color="auto"/>
          </w:divBdr>
        </w:div>
        <w:div w:id="52394535">
          <w:marLeft w:val="0"/>
          <w:marRight w:val="0"/>
          <w:marTop w:val="0"/>
          <w:marBottom w:val="0"/>
          <w:divBdr>
            <w:top w:val="none" w:sz="0" w:space="0" w:color="auto"/>
            <w:left w:val="none" w:sz="0" w:space="0" w:color="auto"/>
            <w:bottom w:val="none" w:sz="0" w:space="0" w:color="auto"/>
            <w:right w:val="none" w:sz="0" w:space="0" w:color="auto"/>
          </w:divBdr>
        </w:div>
        <w:div w:id="1369256377">
          <w:marLeft w:val="0"/>
          <w:marRight w:val="0"/>
          <w:marTop w:val="0"/>
          <w:marBottom w:val="0"/>
          <w:divBdr>
            <w:top w:val="none" w:sz="0" w:space="0" w:color="auto"/>
            <w:left w:val="none" w:sz="0" w:space="0" w:color="auto"/>
            <w:bottom w:val="none" w:sz="0" w:space="0" w:color="auto"/>
            <w:right w:val="none" w:sz="0" w:space="0" w:color="auto"/>
          </w:divBdr>
        </w:div>
      </w:divsChild>
    </w:div>
    <w:div w:id="1186940723">
      <w:bodyDiv w:val="1"/>
      <w:marLeft w:val="0"/>
      <w:marRight w:val="0"/>
      <w:marTop w:val="0"/>
      <w:marBottom w:val="0"/>
      <w:divBdr>
        <w:top w:val="none" w:sz="0" w:space="0" w:color="auto"/>
        <w:left w:val="none" w:sz="0" w:space="0" w:color="auto"/>
        <w:bottom w:val="none" w:sz="0" w:space="0" w:color="auto"/>
        <w:right w:val="none" w:sz="0" w:space="0" w:color="auto"/>
      </w:divBdr>
      <w:divsChild>
        <w:div w:id="1013922636">
          <w:marLeft w:val="0"/>
          <w:marRight w:val="0"/>
          <w:marTop w:val="0"/>
          <w:marBottom w:val="0"/>
          <w:divBdr>
            <w:top w:val="none" w:sz="0" w:space="0" w:color="auto"/>
            <w:left w:val="none" w:sz="0" w:space="0" w:color="auto"/>
            <w:bottom w:val="none" w:sz="0" w:space="0" w:color="auto"/>
            <w:right w:val="none" w:sz="0" w:space="0" w:color="auto"/>
          </w:divBdr>
        </w:div>
        <w:div w:id="2063139408">
          <w:marLeft w:val="0"/>
          <w:marRight w:val="0"/>
          <w:marTop w:val="0"/>
          <w:marBottom w:val="0"/>
          <w:divBdr>
            <w:top w:val="none" w:sz="0" w:space="0" w:color="auto"/>
            <w:left w:val="none" w:sz="0" w:space="0" w:color="auto"/>
            <w:bottom w:val="none" w:sz="0" w:space="0" w:color="auto"/>
            <w:right w:val="none" w:sz="0" w:space="0" w:color="auto"/>
          </w:divBdr>
        </w:div>
        <w:div w:id="1345590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4FD70D4D57E340B0DBDB56293AEA0F" ma:contentTypeVersion="2" ma:contentTypeDescription="Create a new document." ma:contentTypeScope="" ma:versionID="f1c28035d68f5ae458f4088280b00fcc">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E60A29-D4DE-4DD9-8447-C62930967056}"/>
</file>

<file path=customXml/itemProps2.xml><?xml version="1.0" encoding="utf-8"?>
<ds:datastoreItem xmlns:ds="http://schemas.openxmlformats.org/officeDocument/2006/customXml" ds:itemID="{66505A07-06B8-415C-ACC0-EF859B37586D}"/>
</file>

<file path=customXml/itemProps3.xml><?xml version="1.0" encoding="utf-8"?>
<ds:datastoreItem xmlns:ds="http://schemas.openxmlformats.org/officeDocument/2006/customXml" ds:itemID="{477994EE-8C67-41ED-8CDE-EB98AE1DD184}"/>
</file>

<file path=customXml/itemProps4.xml><?xml version="1.0" encoding="utf-8"?>
<ds:datastoreItem xmlns:ds="http://schemas.openxmlformats.org/officeDocument/2006/customXml" ds:itemID="{8F4CEE2D-2CE6-4FD0-BF19-98A36B2D296A}"/>
</file>

<file path=docProps/app.xml><?xml version="1.0" encoding="utf-8"?>
<Properties xmlns="http://schemas.openxmlformats.org/officeDocument/2006/extended-properties" xmlns:vt="http://schemas.openxmlformats.org/officeDocument/2006/docPropsVTypes">
  <Template>Normal</Template>
  <TotalTime>0</TotalTime>
  <Pages>16</Pages>
  <Words>6788</Words>
  <Characters>37407</Characters>
  <Application>Microsoft Office Word</Application>
  <DocSecurity>0</DocSecurity>
  <Lines>813</Lines>
  <Paragraphs>209</Paragraphs>
  <ScaleCrop>false</ScaleCrop>
  <HeadingPairs>
    <vt:vector size="2" baseType="variant">
      <vt:variant>
        <vt:lpstr>Title</vt:lpstr>
      </vt:variant>
      <vt:variant>
        <vt:i4>1</vt:i4>
      </vt:variant>
    </vt:vector>
  </HeadingPairs>
  <TitlesOfParts>
    <vt:vector size="1" baseType="lpstr">
      <vt:lpstr/>
    </vt:vector>
  </TitlesOfParts>
  <Company>Maryland Insurance Administration</Company>
  <LinksUpToDate>false</LinksUpToDate>
  <CharactersWithSpaces>43986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Guzman</dc:creator>
  <cp:keywords/>
  <dc:description/>
  <cp:lastModifiedBy>David Cooney</cp:lastModifiedBy>
  <cp:revision>2</cp:revision>
  <cp:lastPrinted>2021-07-22T15:28:00Z</cp:lastPrinted>
  <dcterms:created xsi:type="dcterms:W3CDTF">2021-12-22T18:48:00Z</dcterms:created>
  <dcterms:modified xsi:type="dcterms:W3CDTF">2021-12-22T18:48:00Z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0x010100ED4FD70D4D57E340B0DBDB56293AEA0F</vt:lpwstr>
  </property>
</Properties>
</file>